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CLASSE SN</w:t>
      </w:r>
    </w:p>
    <w:p>
      <w:pPr>
        <w:spacing w:after="120"/>
        <w:jc w:val="center"/>
      </w:pPr>
      <w:r>
        <w:rPr>
          <w:b/>
          <w:bCs/>
          <w:color w:val="2E75B6"/>
          <w:sz w:val="36"/>
          <w:szCs w:val="36"/>
        </w:rPr>
        <w:t xml:space="preserve">Seuil de Négligeabilité</w:t>
      </w:r>
    </w:p>
    <w:p>
      <w:pPr>
        <w:spacing w:after="480"/>
        <w:jc w:val="center"/>
      </w:pPr>
      <w:r>
        <w:rPr>
          <w:i/>
          <w:iCs/>
          <w:sz w:val="24"/>
          <w:szCs w:val="24"/>
        </w:rPr>
        <w:t xml:space="preserve">Un outil de rigueur métrologique pour la Théorie des Gramets</w:t>
      </w:r>
    </w:p>
    <w:p>
      <w:pPr>
        <w:spacing w:after="600"/>
        <w:jc w:val="center"/>
      </w:pPr>
      <w:r>
        <w:rPr>
          <w:sz w:val="22"/>
          <w:szCs w:val="22"/>
        </w:rPr>
        <w:t xml:space="preserve">Version 1.0 – Novembre 2025</w:t>
      </w:r>
    </w:p>
    <w:p>
      <w:pPr>
        <w:pStyle w:val="Heading1"/>
      </w:pPr>
      <w:r>
        <w:t xml:space="preserve">1. Introduction et objectifs</w:t>
      </w:r>
    </w:p>
    <w:p>
      <w:pPr>
        <w:spacing w:after="200"/>
      </w:pPr>
      <w:r>
        <w:t xml:space="preserve">La précision affichée d'un résultat scientifique dépasse souvent sa précision réelle. Il n'est pas rare de voir des publications présentant 8 à 12 chiffres significatifs alors que seuls 3 ou 4 sont fiables. Cette pratique, issue de l'affichage par défaut des calculatrices et ordinateurs, constitue une </w:t>
      </w:r>
      <w:r>
        <w:rPr>
          <w:b/>
          <w:bCs/>
        </w:rPr>
        <w:t xml:space="preserve">dérive épistémologique majeure</w:t>
      </w:r>
      <w:r>
        <w:t xml:space="preserve">.</w:t>
      </w:r>
    </w:p>
    <w:p>
      <w:pPr>
        <w:spacing w:after="200"/>
      </w:pPr>
      <w:r>
        <w:t xml:space="preserve">La </w:t>
      </w:r>
      <w:r>
        <w:rPr>
          <w:b/>
          <w:bCs/>
        </w:rPr>
        <w:t xml:space="preserve">Classe SN (Seuil de Négligeabilité)</w:t>
      </w:r>
      <w:r>
        <w:t xml:space="preserve"> est un outil méthodologique développé dans le cadre de la Théorie des Gramets pour :</w:t>
      </w:r>
    </w:p>
    <w:p>
      <w:pPr>
        <w:pStyle w:val="ListParagraph"/>
        <w:numPr>
          <w:ilvl w:val="0"/>
          <w:numId w:val="2"/>
        </w:numPr>
      </w:pPr>
      <w:r>
        <w:t xml:space="preserve">Certifier la précision réelle des grandeurs mesurées et calculées</w:t>
      </w:r>
    </w:p>
    <w:p>
      <w:pPr>
        <w:pStyle w:val="ListParagraph"/>
        <w:numPr>
          <w:ilvl w:val="0"/>
          <w:numId w:val="2"/>
        </w:numPr>
      </w:pPr>
      <w:r>
        <w:t xml:space="preserve">Tracer la propagation des incertitudes dans les chaînes de calcul</w:t>
      </w:r>
    </w:p>
    <w:p>
      <w:pPr>
        <w:pStyle w:val="ListParagraph"/>
        <w:numPr>
          <w:ilvl w:val="0"/>
          <w:numId w:val="2"/>
        </w:numPr>
      </w:pPr>
      <w:r>
        <w:t xml:space="preserve">Identifier les termes négligeables dans les équations selon le contexte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Restaurer l'honnêteté scientifique dans l'affichage des résultats</w:t>
      </w:r>
    </w:p>
    <w:p>
      <w:pPr>
        <w:pStyle w:val="Heading1"/>
      </w:pPr>
      <w:r>
        <w:t xml:space="preserve">2. Définitions</w:t>
      </w:r>
    </w:p>
    <w:p>
      <w:pPr>
        <w:pStyle w:val="Heading2"/>
      </w:pPr>
      <w:r>
        <w:t xml:space="preserve">2.1 Classe SNn</w:t>
      </w:r>
    </w:p>
    <w:p>
      <w:pPr>
        <w:spacing w:after="200"/>
      </w:pPr>
      <w:r>
        <w:t xml:space="preserve">Une grandeur est dite </w:t>
      </w:r>
      <w:r>
        <w:rPr>
          <w:b/>
          <w:bCs/>
        </w:rPr>
        <w:t xml:space="preserve">certifiée SNn</w:t>
      </w:r>
      <w:r>
        <w:t xml:space="preserve"> lorsque ses </w:t>
      </w:r>
      <w:r>
        <w:rPr>
          <w:b/>
          <w:bCs/>
        </w:rPr>
        <w:t xml:space="preserve">n premiers chiffres significatifs</w:t>
      </w:r>
      <w:r>
        <w:t xml:space="preserve"> sont fiables et vérifiables.</w:t>
      </w:r>
    </w:p>
    <w:p>
      <w:pPr>
        <w:spacing w:after="200"/>
      </w:pPr>
      <w:r>
        <w:t xml:space="preserve">Exemples de notation :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SN2</w:t>
      </w:r>
      <w:r>
        <w:t xml:space="preserve"> : 2 chiffres significatifs fiables (précision ~1%)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SN3</w:t>
      </w:r>
      <w:r>
        <w:t xml:space="preserve"> : 3 chiffres significatifs fiables (précision ~0,1%)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SN4</w:t>
      </w:r>
      <w:r>
        <w:t xml:space="preserve"> : 4 chiffres significatifs fiables (précision ~0,01%)</w:t>
      </w:r>
    </w:p>
    <w:p>
      <w:pPr>
        <w:pStyle w:val="ListParagraph"/>
        <w:numPr>
          <w:ilvl w:val="0"/>
          <w:numId w:val="3"/>
        </w:numPr>
        <w:spacing w:after="200"/>
      </w:pPr>
      <w:r>
        <w:rPr>
          <w:b/>
          <w:bCs/>
        </w:rPr>
        <w:t xml:space="preserve">SN6</w:t>
      </w:r>
      <w:r>
        <w:t xml:space="preserve"> : 6 chiffres significatifs fiables (précision ~0,0001%)</w:t>
      </w:r>
    </w:p>
    <w:p>
      <w:pPr>
        <w:pStyle w:val="Heading2"/>
      </w:pPr>
      <w:r>
        <w:t xml:space="preserve">2.2 Notation scientifique obligatoire</w:t>
      </w:r>
    </w:p>
    <w:p>
      <w:pPr>
        <w:spacing w:after="200"/>
      </w:pPr>
      <w:r>
        <w:t xml:space="preserve">Toutes les valeurs doivent être exprimées en </w:t>
      </w:r>
      <w:r>
        <w:rPr>
          <w:b/>
          <w:bCs/>
        </w:rPr>
        <w:t xml:space="preserve">notation scientifique</w:t>
      </w:r>
      <w:r>
        <w:t xml:space="preserve"> pour rendre explicite le nombre de chiffres significatifs.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Incorrect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Correct (SN4)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5972000000000000000000000 kg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5,972 × 10²⁴ kg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6371000 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6,371 × 10⁶ m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0,000000002784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2,784 × 10⁻⁹</w:t>
            </w:r>
          </w:p>
        </w:tc>
      </w:tr>
    </w:tbl>
    <w:p>
      <w:pPr>
        <w:spacing w:before="400"/>
      </w:pPr>
    </w:p>
    <w:p>
      <w:pPr>
        <w:pStyle w:val="Heading1"/>
      </w:pPr>
      <w:r>
        <w:t xml:space="preserve">3. Règles fondamentales</w:t>
      </w:r>
    </w:p>
    <w:p>
      <w:pPr>
        <w:pStyle w:val="Heading2"/>
      </w:pPr>
      <w:r>
        <w:t xml:space="preserve">3.1 Règle du maillon faible</w:t>
      </w:r>
    </w:p>
    <w:p>
      <w:pPr>
        <w:shd w:fill="E8F4FD" w:val="clear"/>
        <w:spacing w:after="200"/>
        <w:ind w:left="360" w:right="360"/>
      </w:pPr>
      <w:r>
        <w:rPr>
          <w:b/>
          <w:bCs/>
          <w:i/>
          <w:iCs/>
        </w:rPr>
        <w:t xml:space="preserve">Le résultat d'un calcul ne peut jamais être plus précis que la grandeur d'entrée la moins précise.</w:t>
      </w:r>
    </w:p>
    <w:p>
      <w:pPr>
        <w:spacing w:after="200"/>
      </w:pPr>
      <w:r>
        <w:t xml:space="preserve">Si A (SN4) × B (SN3) = C, alors C est au mieux SN3.</w:t>
      </w:r>
    </w:p>
    <w:p>
      <w:pPr>
        <w:pStyle w:val="Heading2"/>
      </w:pPr>
      <w:r>
        <w:t xml:space="preserve">3.2 Règle de marge de calcul (MC)</w:t>
      </w:r>
    </w:p>
    <w:p>
      <w:pPr>
        <w:shd w:fill="E8F4FD" w:val="clear"/>
        <w:spacing w:after="200"/>
        <w:ind w:left="360" w:right="360"/>
      </w:pPr>
      <w:r>
        <w:rPr>
          <w:b/>
          <w:bCs/>
          <w:i/>
          <w:iCs/>
        </w:rPr>
        <w:t xml:space="preserve">Pour garantir un résultat certifié SNn, effectuer tous les calculs intermédiaires en SNn+1 minimum, idéalement SNn+2.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Précision souhaitée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Calcul intermédiaire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SN2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SN3 ou SN4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SN3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SN4 ou SN5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SN4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SN5 ou SN6</w:t>
            </w:r>
          </w:p>
        </w:tc>
      </w:tr>
    </w:tbl>
    <w:p>
      <w:pPr>
        <w:spacing w:before="400"/>
      </w:pPr>
    </w:p>
    <w:p>
      <w:pPr>
        <w:pStyle w:val="Heading2"/>
      </w:pPr>
      <w:r>
        <w:t xml:space="preserve">3.3 Règle d'affichage</w:t>
      </w:r>
    </w:p>
    <w:p>
      <w:pPr>
        <w:shd w:fill="E8F4FD" w:val="clear"/>
        <w:spacing w:after="200"/>
        <w:ind w:left="360" w:right="360"/>
      </w:pPr>
      <w:r>
        <w:rPr>
          <w:b/>
          <w:bCs/>
          <w:i/>
          <w:iCs/>
        </w:rPr>
        <w:t xml:space="preserve">Tout résultat doit être exprimé avec sa classe SN certifiée. L'arrondi au niveau certifié ne s'effectue qu'une seule fois, sur le résultat final.</w:t>
      </w:r>
    </w:p>
    <w:p>
      <w:pPr>
        <w:spacing w:after="100"/>
      </w:pPr>
      <w:r>
        <w:rPr>
          <w:color w:val="CC0000"/>
        </w:rPr>
        <w:t xml:space="preserve">❌ Incorrect : </w:t>
      </w:r>
      <w:r>
        <w:t xml:space="preserve">M = 4,152 847 291 × 10⁶ M☉</w:t>
      </w:r>
    </w:p>
    <w:p>
      <w:pPr>
        <w:spacing w:after="200"/>
      </w:pPr>
      <w:r>
        <w:rPr>
          <w:color w:val="007700"/>
        </w:rPr>
        <w:t xml:space="preserve">✓ Correct : </w:t>
      </w:r>
      <w:r>
        <w:t xml:space="preserve">M = 4,15 × 10⁶ M☉ (SN3)</w:t>
      </w:r>
    </w:p>
    <w:p>
      <w:r>
        <w:br w:type="page"/>
      </w:r>
    </w:p>
    <w:p>
      <w:pPr>
        <w:pStyle w:val="Heading1"/>
      </w:pPr>
      <w:r>
        <w:t xml:space="preserve">4. Application à la formule Gramets</w:t>
      </w:r>
    </w:p>
    <w:p>
      <w:pPr>
        <w:spacing w:after="200"/>
      </w:pPr>
      <w:r>
        <w:t xml:space="preserve">La formule fondamentale du ralentissement temporel dans la théorie des Gramets est :</w:t>
      </w:r>
    </w:p>
    <w:p>
      <w:pPr>
        <w:shd w:fill="F5F5F5" w:val="clear"/>
        <w:spacing w:before="200" w:after="200"/>
        <w:jc w:val="center"/>
      </w:pPr>
      <w:r>
        <w:rPr>
          <w:b/>
          <w:bCs/>
          <w:sz w:val="28"/>
          <w:szCs w:val="28"/>
        </w:rPr>
        <w:t xml:space="preserve">Δt(d) = [Kf/Kf₀] × [r/(r+d)] × [1/(4 − 3×Kf/Kf₀)]</w:t>
      </w:r>
    </w:p>
    <w:p>
      <w:pPr>
        <w:pStyle w:val="Heading2"/>
      </w:pPr>
      <w:r>
        <w:t xml:space="preserve">4.1 Éléments constitutifs</w:t>
      </w:r>
    </w:p>
    <w:p>
      <w:pPr>
        <w:spacing w:after="200"/>
      </w:pPr>
      <w:r>
        <w:t xml:space="preserve">Chaque élément doit être ramené à ses unités primaires 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200"/>
        <w:gridCol w:w="4360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Symbole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Définition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Unités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b/>
                <w:bCs/>
              </w:rPr>
              <w:t xml:space="preserve">Kf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M/r de l'objet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kg/m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b/>
                <w:bCs/>
              </w:rPr>
              <w:t xml:space="preserve">Kf₀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c²/(4G) — constante universelle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kg/m (= 3,367 × 10²⁶)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b/>
                <w:bCs/>
              </w:rPr>
              <w:t xml:space="preserve">r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Rayon équivalent de l'objet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b/>
                <w:bCs/>
              </w:rPr>
              <w:t xml:space="preserve">d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Distance surface → point de mesure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 (d ≥ 0)</w:t>
            </w:r>
          </w:p>
        </w:tc>
      </w:tr>
    </w:tbl>
    <w:p>
      <w:pPr>
        <w:spacing w:before="400"/>
      </w:pPr>
    </w:p>
    <w:p>
      <w:pPr>
        <w:pStyle w:val="Heading2"/>
      </w:pPr>
      <w:r>
        <w:t xml:space="preserve">4.2 Calcul du rayon équivalent (méthode Gramets)</w:t>
      </w:r>
    </w:p>
    <w:p>
      <w:pPr>
        <w:spacing w:after="200"/>
      </w:pPr>
      <w:r>
        <w:t xml:space="preserve">Pour tout objet quasi-sphérique, le rayon équivalent est celui de la sphère ayant la même masse M et la même densité moyenne ρ :</w:t>
      </w:r>
    </w:p>
    <w:p>
      <w:pPr>
        <w:spacing w:before="200" w:after="200"/>
        <w:jc w:val="center"/>
      </w:pPr>
      <w:r>
        <w:rPr>
          <w:b/>
          <w:bCs/>
          <w:sz w:val="26"/>
          <w:szCs w:val="26"/>
        </w:rPr>
        <w:t xml:space="preserve">r = ∛(3M / 4πρ)</w:t>
      </w:r>
    </w:p>
    <w:p>
      <w:pPr>
        <w:spacing w:after="200"/>
      </w:pPr>
      <w:r>
        <w:t xml:space="preserve">Cette méthode assure une définition </w:t>
      </w:r>
      <w:r>
        <w:rPr>
          <w:b/>
          <w:bCs/>
        </w:rPr>
        <w:t xml:space="preserve">univoque et gravitationnellement cohérente</w:t>
      </w:r>
      <w:r>
        <w:t xml:space="preserve"> du rayon, éliminant les ambiguïtés (équatorial, polaire, moyen).</w:t>
      </w:r>
    </w:p>
    <w:p>
      <w:pPr>
        <w:pStyle w:val="Heading1"/>
      </w:pPr>
      <w:r>
        <w:t xml:space="preserve">5. Exemple complet : la Terre</w:t>
      </w:r>
    </w:p>
    <w:p>
      <w:pPr>
        <w:pStyle w:val="Heading2"/>
      </w:pPr>
      <w:r>
        <w:t xml:space="preserve">5.1 Calcul de Kf₀ (SN4)</w:t>
      </w:r>
    </w:p>
    <w:p>
      <w:pPr>
        <w:spacing w:after="100"/>
      </w:pPr>
      <w:r>
        <w:t xml:space="preserve">c = 2,998 × 10⁸ m/s</w:t>
      </w:r>
    </w:p>
    <w:p>
      <w:pPr>
        <w:spacing w:after="100"/>
      </w:pPr>
      <w:r>
        <w:t xml:space="preserve">G = 6,674 × 10⁻¹¹ m³/(kg·s²)</w:t>
      </w:r>
    </w:p>
    <w:p>
      <w:pPr>
        <w:spacing w:after="100"/>
      </w:pPr>
      <w:r>
        <w:t xml:space="preserve">c² = 8,988 × 10¹⁶ m²/s²</w:t>
      </w:r>
    </w:p>
    <w:p>
      <w:pPr>
        <w:spacing w:after="100"/>
      </w:pPr>
      <w:r>
        <w:t xml:space="preserve">4G = 2,670 × 10⁻¹⁰ m³/(kg·s²)</w:t>
      </w:r>
    </w:p>
    <w:p>
      <w:pPr>
        <w:shd w:fill="E8F4FD" w:val="clear"/>
        <w:spacing w:after="200"/>
      </w:pPr>
      <w:r>
        <w:rPr>
          <w:b/>
          <w:bCs/>
        </w:rPr>
        <w:t xml:space="preserve">Kf₀ = c²/(4G) = 3,367 × 10²⁶ kg/m (SN4)</w:t>
      </w:r>
    </w:p>
    <w:p>
      <w:pPr>
        <w:pStyle w:val="Heading2"/>
      </w:pPr>
      <w:r>
        <w:t xml:space="preserve">5.2 Calcul de Kf_Terre</w:t>
      </w:r>
    </w:p>
    <w:p>
      <w:pPr>
        <w:spacing w:after="100"/>
      </w:pPr>
      <w:r>
        <w:t xml:space="preserve">M_Terre = 5,972 × 10²⁴ kg (SN4)</w:t>
      </w:r>
    </w:p>
    <w:p>
      <w:pPr>
        <w:spacing w:after="100"/>
      </w:pPr>
      <w:r>
        <w:t xml:space="preserve">ρ_moyenne = 5,514 × 10³ kg/m³ (SN3 — le 4ᵉ chiffre est un arrondi)</w:t>
      </w:r>
    </w:p>
    <w:p>
      <w:pPr>
        <w:spacing w:after="100"/>
      </w:pPr>
      <w:r>
        <w:t xml:space="preserve">r_Terre = 6,371 × 10⁶ m (hérite de SN3)</w:t>
      </w:r>
    </w:p>
    <w:p>
      <w:pPr>
        <w:shd w:fill="E8F4FD" w:val="clear"/>
        <w:spacing w:after="200"/>
      </w:pPr>
      <w:r>
        <w:rPr>
          <w:b/>
          <w:bCs/>
        </w:rPr>
        <w:t xml:space="preserve">Kf_Terre = M/r = 9,37 × 10¹⁷ kg/m (SN3)</w:t>
      </w:r>
    </w:p>
    <w:p>
      <w:pPr>
        <w:pStyle w:val="Heading2"/>
      </w:pPr>
      <w:r>
        <w:t xml:space="preserve">5.3 Calcul du ratio Kf/Kf₀</w:t>
      </w:r>
    </w:p>
    <w:p>
      <w:pPr>
        <w:spacing w:after="100"/>
      </w:pPr>
      <w:r>
        <w:t xml:space="preserve">Kf/Kf₀ = 9,37 × 10¹⁷ / 3,367 × 10²⁶</w:t>
      </w:r>
    </w:p>
    <w:p>
      <w:pPr>
        <w:shd w:fill="E8F4FD" w:val="clear"/>
        <w:spacing w:after="200"/>
      </w:pPr>
      <w:r>
        <w:rPr>
          <w:b/>
          <w:bCs/>
        </w:rPr>
        <w:t xml:space="preserve">Kf/Kf₀ = 2,78 × 10⁻⁹ (SN3 — maillon faible)</w:t>
      </w:r>
    </w:p>
    <w:p>
      <w:pPr>
        <w:pStyle w:val="Heading2"/>
      </w:pPr>
      <w:r>
        <w:t xml:space="preserve">5.4 Analyse du facteur d'isotropie</w:t>
      </w:r>
    </w:p>
    <w:p>
      <w:pPr>
        <w:spacing w:after="100"/>
      </w:pPr>
      <w:r>
        <w:t xml:space="preserve">3 × Kf/Kf₀ = 8,35 × 10⁻⁹</w:t>
      </w:r>
    </w:p>
    <w:p>
      <w:pPr>
        <w:spacing w:after="100"/>
      </w:pPr>
      <w:r>
        <w:t xml:space="preserve">4 − 3×Kf/Kf₀ = 3,999 999 991... ≈ 4,000</w:t>
      </w:r>
    </w:p>
    <w:p>
      <w:pPr>
        <w:spacing w:after="100"/>
      </w:pPr>
      <w:r>
        <w:t xml:space="preserve">1/(4 − 3×Kf/Kf₀) = 0,2500 000 005... ≈ 0,2500 = 1/4</w:t>
      </w:r>
    </w:p>
    <w:p>
      <w:pPr>
        <w:shd w:fill="FFF3CD" w:val="clear"/>
        <w:spacing w:after="200"/>
      </w:pPr>
      <w:r>
        <w:rPr>
          <w:b/>
          <w:bCs/>
        </w:rPr>
        <w:t xml:space="preserve">→ Écart à 1/4 : ~10⁻⁹ — négligeable jusqu'à SN6 !</w:t>
      </w:r>
    </w:p>
    <w:p>
      <w:r>
        <w:br w:type="page"/>
      </w:r>
    </w:p>
    <w:p>
      <w:pPr>
        <w:pStyle w:val="Heading1"/>
      </w:pPr>
      <w:r>
        <w:t xml:space="preserve">6. Seuils de négligeabilité</w:t>
      </w:r>
    </w:p>
    <w:p>
      <w:pPr>
        <w:spacing w:after="200"/>
      </w:pPr>
      <w:r>
        <w:t xml:space="preserve">Un terme peut être négligé si son impact sur le résultat est inférieur à la précision recherchée.</w:t>
      </w:r>
    </w:p>
    <w:p>
      <w:pPr>
        <w:pStyle w:val="Heading2"/>
      </w:pPr>
      <w:r>
        <w:t xml:space="preserve">6.1 Facteur d'isotropie 1/(4 − 3×Kf/Kf₀)</w:t>
      </w:r>
    </w:p>
    <w:p>
      <w:pPr>
        <w:spacing w:after="200"/>
      </w:pPr>
      <w:r>
        <w:t xml:space="preserve">Ce terme peut être remplacé par 1/4 tant que Kf/Kf₀ reste sous certains seuils 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510"/>
        <w:gridCol w:w="351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Classe SN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Seuil Kf/Kf₀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Interprétation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b/>
                <w:bCs/>
              </w:rPr>
              <w:t xml:space="preserve">SN6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&lt; 1,33 × 10⁻⁶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Champ très faible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b/>
                <w:bCs/>
              </w:rPr>
              <w:t xml:space="preserve">SN5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&lt; 1,33 × 10⁻⁵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Champ faible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b/>
                <w:bCs/>
              </w:rPr>
              <w:t xml:space="preserve">SN4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&lt; 1,33 × 10⁻⁴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Champ modéré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b/>
                <w:bCs/>
              </w:rPr>
              <w:t xml:space="preserve">SN3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&lt; 1,33 × 10⁻³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Champ significatif</w:t>
            </w:r>
          </w:p>
        </w:tc>
      </w:tr>
    </w:tbl>
    <w:p>
      <w:pPr>
        <w:spacing w:before="300" w:after="200"/>
      </w:pPr>
      <w:r>
        <w:rPr>
          <w:b/>
          <w:bCs/>
        </w:rPr>
        <w:t xml:space="preserve">Application : </w:t>
      </w:r>
      <w:r>
        <w:t xml:space="preserve">La Terre avec Kf/Kf₀ ≈ 2,78 × 10⁻⁹ est ~500× sous le seuil SN6. Le facteur d'isotropie peut être remplacé par 1/4 sans aucune perte de précision.</w:t>
      </w:r>
    </w:p>
    <w:p>
      <w:pPr>
        <w:pStyle w:val="Heading2"/>
      </w:pPr>
      <w:r>
        <w:t xml:space="preserve">6.2 Formule simplifiée (champ faible)</w:t>
      </w:r>
    </w:p>
    <w:p>
      <w:pPr>
        <w:spacing w:after="200"/>
      </w:pPr>
      <w:r>
        <w:t xml:space="preserve">En champ faible (Kf/Kf₀ &lt; 10⁻³), la formule complète :</w:t>
      </w:r>
    </w:p>
    <w:p>
      <w:pPr>
        <w:spacing w:after="200"/>
        <w:jc w:val="center"/>
      </w:pPr>
      <w:r>
        <w:rPr>
          <w:sz w:val="22"/>
          <w:szCs w:val="22"/>
        </w:rPr>
        <w:t xml:space="preserve">Δt(d) = [Kf/Kf₀] × [r/(r+d)] × [1/(4 − 3×Kf/Kf₀)]</w:t>
      </w:r>
    </w:p>
    <w:p>
      <w:pPr>
        <w:spacing w:after="200"/>
      </w:pPr>
      <w:r>
        <w:t xml:space="preserve">se simplifie en :</w:t>
      </w:r>
    </w:p>
    <w:p>
      <w:pPr>
        <w:shd w:fill="E8F4FD" w:val="clear"/>
        <w:spacing w:after="200"/>
        <w:jc w:val="center"/>
      </w:pPr>
      <w:r>
        <w:rPr>
          <w:b/>
          <w:bCs/>
          <w:sz w:val="26"/>
          <w:szCs w:val="26"/>
        </w:rPr>
        <w:t xml:space="preserve">Δt(d) = [Kf/Kf₀] × [r/(r+d)] × 1/4    (certifié SNn si Kf/Kf₀ &lt; seuil)</w:t>
      </w:r>
    </w:p>
    <w:p>
      <w:pPr>
        <w:spacing w:after="200"/>
      </w:pPr>
      <w:r>
        <w:t xml:space="preserve">Cette simplification est </w:t>
      </w:r>
      <w:r>
        <w:rPr>
          <w:b/>
          <w:bCs/>
        </w:rPr>
        <w:t xml:space="preserve">garantie SNn</w:t>
      </w:r>
      <w:r>
        <w:t xml:space="preserve"> pour les conditions spécifiées dans le tableau ci-dessus.</w:t>
      </w:r>
    </w:p>
    <w:p>
      <w:pPr>
        <w:pStyle w:val="Heading1"/>
      </w:pPr>
      <w:r>
        <w:t xml:space="preserve">7. Synthèse et objectifs</w:t>
      </w:r>
    </w:p>
    <w:p>
      <w:pPr>
        <w:spacing w:after="200"/>
      </w:pPr>
      <w:r>
        <w:t xml:space="preserve">La Classe SN permet de :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Certifier la précision</w:t>
      </w:r>
      <w:r>
        <w:t xml:space="preserve"> — Chaque grandeur porte sa classe SN, rendant explicite sa fiabilité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Tracer les incertitudes</w:t>
      </w:r>
      <w:r>
        <w:t xml:space="preserve"> — La chaîne de calcul est documentée, le maillon faible identifié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Simplifier les équations</w:t>
      </w:r>
      <w:r>
        <w:t xml:space="preserve"> — Des termes peuvent être négligés avec garantie de précision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Restaurer l'honnêteté</w:t>
      </w:r>
      <w:r>
        <w:t xml:space="preserve"> — Fin de la fausse précision, retour à la rigueur métrologique</w:t>
      </w:r>
    </w:p>
    <w:p>
      <w:pPr>
        <w:pStyle w:val="ListParagraph"/>
        <w:numPr>
          <w:ilvl w:val="0"/>
          <w:numId w:val="4"/>
        </w:numPr>
        <w:spacing w:after="400"/>
      </w:pPr>
      <w:r>
        <w:rPr>
          <w:b/>
          <w:bCs/>
        </w:rPr>
        <w:t xml:space="preserve">Communiquer efficacement</w:t>
      </w:r>
      <w:r>
        <w:t xml:space="preserve"> — Les scientifiques partagent des valeurs « certifiées » en connaissance de cause</w:t>
      </w:r>
    </w:p>
    <w:p>
      <w:pPr>
        <w:shd w:fill="F5F5F5" w:val="clear"/>
        <w:spacing w:before="400"/>
        <w:ind w:left="720" w:right="720"/>
      </w:pPr>
      <w:r>
        <w:rPr>
          <w:i/>
          <w:iCs/>
        </w:rPr>
        <w:t xml:space="preserve">« On voit souvent des publications avec 8 à 12 chiffres significatifs et qui, en réalité, n'en ont que 3 ou 4 de fiables. La Classe SN met fin à cette dérive. »</w:t>
      </w:r>
    </w:p>
    <w:p>
      <w:pPr>
        <w:ind w:right="720"/>
        <w:jc w:val="right"/>
      </w:pPr>
      <w:r>
        <w:rPr>
          <w:i/>
          <w:iCs/>
          <w:sz w:val="22"/>
          <w:szCs w:val="22"/>
        </w:rPr>
        <w:t xml:space="preserve">— Équipe Gramets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666666"/>
        <w:sz w:val="20"/>
        <w:szCs w:val="20"/>
      </w:rPr>
      <w:t xml:space="preserve">Classe SN – Théorie des Gramets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240" w:after="12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2025-11-25T22:32:13.324Z</dcterms:created>
  <dcterms:modified xsi:type="dcterms:W3CDTF">2025-11-25T22:32:13.325Z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