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377" w:rsidRDefault="00000000">
      <w:pPr>
        <w:pStyle w:val="Titre"/>
      </w:pPr>
      <w:r>
        <w:t>Charte d'Hygiène Scientifique</w:t>
      </w:r>
    </w:p>
    <w:p w:rsidR="00215377" w:rsidRDefault="00000000">
      <w:pPr>
        <w:spacing w:after="360"/>
        <w:jc w:val="center"/>
      </w:pPr>
      <w:r>
        <w:rPr>
          <w:i/>
          <w:iCs/>
          <w:sz w:val="28"/>
          <w:szCs w:val="28"/>
        </w:rPr>
        <w:t>Application au test de dilatation temporelle des muons</w:t>
      </w:r>
    </w:p>
    <w:p w:rsidR="00215377" w:rsidRDefault="00000000">
      <w:pPr>
        <w:spacing w:after="120"/>
        <w:jc w:val="center"/>
      </w:pPr>
      <w:r>
        <w:rPr>
          <w:sz w:val="22"/>
          <w:szCs w:val="22"/>
        </w:rPr>
        <w:t>Document méthodologique consolidé</w:t>
      </w:r>
    </w:p>
    <w:p w:rsidR="00215377" w:rsidRDefault="00DD7ECE">
      <w:pPr>
        <w:spacing w:after="480"/>
        <w:jc w:val="center"/>
      </w:pPr>
      <w:r>
        <w:rPr>
          <w:color w:val="666666"/>
          <w:sz w:val="22"/>
          <w:szCs w:val="22"/>
        </w:rPr>
        <w:t xml:space="preserve">Version 1.0 du 15 </w:t>
      </w:r>
      <w:r w:rsidR="00000000">
        <w:rPr>
          <w:color w:val="666666"/>
          <w:sz w:val="22"/>
          <w:szCs w:val="22"/>
        </w:rPr>
        <w:t>Décembre 2025</w:t>
      </w:r>
    </w:p>
    <w:p w:rsidR="00215377" w:rsidRDefault="00000000">
      <w:pPr>
        <w:pStyle w:val="Titre1"/>
      </w:pPr>
      <w:r>
        <w:t>Résumé</w:t>
      </w:r>
    </w:p>
    <w:p w:rsidR="00215377" w:rsidRDefault="00000000">
      <w:pPr>
        <w:pStyle w:val="Abstract"/>
      </w:pPr>
      <w:r>
        <w:t>Ce document établit les critères méthodologiques nécessaires pour évaluer équitablement les prédictions de la Relativité Restreinte (RR) et de la théorie Gramets concernant la dilatation temporelle des muons. L'analyse révèle que les expériences du CERN, souvent citées comme « confirmation » de la RR, reposent sur une validation circulaire où le facteur γ est calculé via les formules de la RR plutôt que mesuré indépendamment. Nous proposons un protocole de test rigoureux distinguant les observables bruts des grandeurs dérivées, permettant une comparaison objective des deux théories.</w:t>
      </w:r>
    </w:p>
    <w:p w:rsidR="00215377" w:rsidRDefault="00000000">
      <w:pPr>
        <w:pStyle w:val="Titre1"/>
      </w:pPr>
      <w:r>
        <w:t>1. Introduction : Le problème de la validation circulaire</w:t>
      </w:r>
    </w:p>
    <w:p w:rsidR="00215377" w:rsidRDefault="00000000">
      <w:r>
        <w:t>Les expériences de dilatation temporelle des muons au CERN sont fréquemment présentées comme des « confirmations expérimentales » de la Relativité Restreinte. Cependant, une analyse méthodologique rigoureuse révèle une structure logique problématique : le facteur de Lorentz γ utilisé pour vérifier la théorie est lui-même calculé à partir des formules de cette même théorie.</w:t>
      </w:r>
    </w:p>
    <w:p w:rsidR="00215377" w:rsidRDefault="00000000">
      <w:pPr>
        <w:spacing w:before="120"/>
      </w:pPr>
      <w:r>
        <w:t xml:space="preserve">Cette circularité ne démontre pas que la RR est fausse, mais qu'elle est </w:t>
      </w:r>
      <w:r>
        <w:rPr>
          <w:i/>
          <w:iCs/>
        </w:rPr>
        <w:t>internement cohérente</w:t>
      </w:r>
      <w:r>
        <w:t xml:space="preserve"> — une propriété nécessaire mais insuffisante pour établir sa validité face à des théories alternatives qui pourraient également être cohérentes.</w:t>
      </w:r>
    </w:p>
    <w:p w:rsidR="00215377" w:rsidRDefault="00000000">
      <w:pPr>
        <w:pStyle w:val="Titre1"/>
      </w:pPr>
      <w:r>
        <w:t>2. Principes de la Charte d'Hygiène Scientifique</w:t>
      </w:r>
    </w:p>
    <w:p w:rsidR="00215377" w:rsidRDefault="00000000">
      <w:r>
        <w:t>La Charte d'Hygiène Scientifique impose une séparation stricte entre trois catégories d'informations :</w:t>
      </w:r>
    </w:p>
    <w:p w:rsidR="00215377" w:rsidRDefault="00000000">
      <w:pPr>
        <w:pStyle w:val="Titre2"/>
      </w:pPr>
      <w:r>
        <w:t>2.1 Observables bruts (Classe A)</w:t>
      </w:r>
    </w:p>
    <w:p w:rsidR="00215377" w:rsidRDefault="00000000">
      <w:r>
        <w:t>Grandeurs mesurées directement par les instruments, sans recours à un modèle théorique pour leur interprétation :</w:t>
      </w:r>
    </w:p>
    <w:p w:rsidR="00215377" w:rsidRDefault="00000000">
      <w:pPr>
        <w:pStyle w:val="Paragraphedeliste"/>
        <w:numPr>
          <w:ilvl w:val="0"/>
          <w:numId w:val="2"/>
        </w:numPr>
      </w:pPr>
      <w:r>
        <w:t>Distances géométriques (règle, interférométrie)</w:t>
      </w:r>
    </w:p>
    <w:p w:rsidR="00215377" w:rsidRDefault="00000000">
      <w:pPr>
        <w:pStyle w:val="Paragraphedeliste"/>
        <w:numPr>
          <w:ilvl w:val="0"/>
          <w:numId w:val="2"/>
        </w:numPr>
      </w:pPr>
      <w:r>
        <w:t>Durées chronométriques (horloge atomique)</w:t>
      </w:r>
    </w:p>
    <w:p w:rsidR="00215377" w:rsidRDefault="00000000">
      <w:pPr>
        <w:pStyle w:val="Paragraphedeliste"/>
        <w:numPr>
          <w:ilvl w:val="0"/>
          <w:numId w:val="2"/>
        </w:numPr>
      </w:pPr>
      <w:r>
        <w:t>Comptages d'événements (détecteurs de particules)</w:t>
      </w:r>
    </w:p>
    <w:p w:rsidR="00215377" w:rsidRDefault="00000000">
      <w:pPr>
        <w:pStyle w:val="Paragraphedeliste"/>
        <w:numPr>
          <w:ilvl w:val="0"/>
          <w:numId w:val="2"/>
        </w:numPr>
      </w:pPr>
      <w:r>
        <w:t>Fréquences (spectromètres)</w:t>
      </w:r>
    </w:p>
    <w:p w:rsidR="00215377" w:rsidRDefault="00000000">
      <w:pPr>
        <w:pStyle w:val="Titre2"/>
      </w:pPr>
      <w:r>
        <w:t>2.2 Grandeurs dérivées (Classe B)</w:t>
      </w:r>
    </w:p>
    <w:p w:rsidR="00215377" w:rsidRDefault="00000000">
      <w:r>
        <w:t>Grandeurs calculées à partir d'observables bruts via des formules théoriques :</w:t>
      </w:r>
    </w:p>
    <w:p w:rsidR="00215377" w:rsidRDefault="00000000">
      <w:pPr>
        <w:pStyle w:val="Paragraphedeliste"/>
        <w:numPr>
          <w:ilvl w:val="0"/>
          <w:numId w:val="2"/>
        </w:numPr>
      </w:pPr>
      <w:r>
        <w:t>Vitesse v = d/t (dépend de la définition de t)</w:t>
      </w:r>
    </w:p>
    <w:p w:rsidR="00215377" w:rsidRDefault="00000000">
      <w:pPr>
        <w:pStyle w:val="Paragraphedeliste"/>
        <w:numPr>
          <w:ilvl w:val="0"/>
          <w:numId w:val="2"/>
        </w:numPr>
      </w:pPr>
      <w:r>
        <w:t>Facteur γ = 1/√(1−v²/c²) (formule RR)</w:t>
      </w:r>
    </w:p>
    <w:p w:rsidR="00215377" w:rsidRDefault="00000000">
      <w:pPr>
        <w:pStyle w:val="Paragraphedeliste"/>
        <w:numPr>
          <w:ilvl w:val="0"/>
          <w:numId w:val="2"/>
        </w:numPr>
      </w:pPr>
      <w:r>
        <w:lastRenderedPageBreak/>
        <w:t>Énergie relativiste E = γmc² (formule RR)</w:t>
      </w:r>
    </w:p>
    <w:p w:rsidR="00215377" w:rsidRDefault="00000000">
      <w:pPr>
        <w:pStyle w:val="Titre2"/>
      </w:pPr>
      <w:r>
        <w:t>2.3 Interprétations théoriques (Classe C)</w:t>
      </w:r>
    </w:p>
    <w:p w:rsidR="00215377" w:rsidRDefault="00000000">
      <w:r>
        <w:t>Conclusions tirées de la comparaison entre prédictions et observations :</w:t>
      </w:r>
    </w:p>
    <w:p w:rsidR="00215377" w:rsidRDefault="00000000">
      <w:pPr>
        <w:pStyle w:val="Paragraphedeliste"/>
        <w:numPr>
          <w:ilvl w:val="0"/>
          <w:numId w:val="2"/>
        </w:numPr>
      </w:pPr>
      <w:r>
        <w:t>« La RR est confirmée »</w:t>
      </w:r>
    </w:p>
    <w:p w:rsidR="00215377" w:rsidRDefault="00000000">
      <w:pPr>
        <w:pStyle w:val="Paragraphedeliste"/>
        <w:numPr>
          <w:ilvl w:val="0"/>
          <w:numId w:val="2"/>
        </w:numPr>
      </w:pPr>
      <w:r>
        <w:t>« Le temps se dilate »</w:t>
      </w:r>
    </w:p>
    <w:p w:rsidR="00215377" w:rsidRDefault="00000000">
      <w:pPr>
        <w:pStyle w:val="Paragraphedeliste"/>
        <w:numPr>
          <w:ilvl w:val="0"/>
          <w:numId w:val="2"/>
        </w:numPr>
      </w:pPr>
      <w:r>
        <w:t>« L'espace se contracte »</w:t>
      </w:r>
    </w:p>
    <w:p w:rsidR="00215377" w:rsidRDefault="00000000">
      <w:pPr>
        <w:pStyle w:val="Titre1"/>
      </w:pPr>
      <w:r>
        <w:t>3. Analyse critique des expériences CERN</w:t>
      </w:r>
    </w:p>
    <w:p w:rsidR="00215377" w:rsidRDefault="00000000">
      <w:pPr>
        <w:pStyle w:val="Titre2"/>
      </w:pPr>
      <w:r>
        <w:t>3.1 Structure logique de la « validation »</w:t>
      </w:r>
    </w:p>
    <w:p w:rsidR="00215377" w:rsidRDefault="00000000">
      <w:r>
        <w:t>L'expérience typique de dilatation temporelle des muons suit la structure suivante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0"/>
        <w:gridCol w:w="4319"/>
        <w:gridCol w:w="3251"/>
      </w:tblGrid>
      <w:tr w:rsidR="00215377">
        <w:tblPrEx>
          <w:tblCellMar>
            <w:top w:w="0" w:type="dxa"/>
            <w:bottom w:w="0" w:type="dxa"/>
          </w:tblCellMar>
        </w:tblPrEx>
        <w:trPr>
          <w:tblHeader/>
        </w:trPr>
        <w:tc>
          <w:tcPr>
            <w:tcW w:w="15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Étape</w:t>
            </w:r>
          </w:p>
        </w:tc>
        <w:tc>
          <w:tcPr>
            <w:tcW w:w="45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Opération</w:t>
            </w:r>
          </w:p>
        </w:tc>
        <w:tc>
          <w:tcPr>
            <w:tcW w:w="336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Catégorie</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1</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Mesure du rayon r de l'anneau de stockage</w:t>
            </w:r>
          </w:p>
        </w:tc>
        <w:tc>
          <w:tcPr>
            <w:tcW w:w="3360" w:type="dxa"/>
            <w:tcBorders>
              <w:top w:val="single" w:sz="1" w:space="0" w:color="999999"/>
              <w:left w:val="single" w:sz="1" w:space="0" w:color="999999"/>
              <w:bottom w:val="single" w:sz="1" w:space="0" w:color="999999"/>
              <w:right w:val="single" w:sz="1" w:space="0" w:color="999999"/>
            </w:tcBorders>
            <w:shd w:val="clear" w:color="auto" w:fill="E8F5E9"/>
          </w:tcPr>
          <w:p w:rsidR="00215377" w:rsidRDefault="00000000">
            <w:r>
              <w:rPr>
                <w:sz w:val="22"/>
                <w:szCs w:val="22"/>
              </w:rPr>
              <w:t>Classe A (brut)</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2</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Mesure de la période de révolution T</w:t>
            </w:r>
          </w:p>
        </w:tc>
        <w:tc>
          <w:tcPr>
            <w:tcW w:w="3360" w:type="dxa"/>
            <w:tcBorders>
              <w:top w:val="single" w:sz="1" w:space="0" w:color="999999"/>
              <w:left w:val="single" w:sz="1" w:space="0" w:color="999999"/>
              <w:bottom w:val="single" w:sz="1" w:space="0" w:color="999999"/>
              <w:right w:val="single" w:sz="1" w:space="0" w:color="999999"/>
            </w:tcBorders>
            <w:shd w:val="clear" w:color="auto" w:fill="E8F5E9"/>
          </w:tcPr>
          <w:p w:rsidR="00215377" w:rsidRDefault="00000000">
            <w:r>
              <w:rPr>
                <w:sz w:val="22"/>
                <w:szCs w:val="22"/>
              </w:rPr>
              <w:t>Classe A (brut)</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3</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Calcul de v = 2πr/T</w:t>
            </w:r>
          </w:p>
        </w:tc>
        <w:tc>
          <w:tcPr>
            <w:tcW w:w="3360" w:type="dxa"/>
            <w:tcBorders>
              <w:top w:val="single" w:sz="1" w:space="0" w:color="999999"/>
              <w:left w:val="single" w:sz="1" w:space="0" w:color="999999"/>
              <w:bottom w:val="single" w:sz="1" w:space="0" w:color="999999"/>
              <w:right w:val="single" w:sz="1" w:space="0" w:color="999999"/>
            </w:tcBorders>
            <w:shd w:val="clear" w:color="auto" w:fill="FFF3E0"/>
          </w:tcPr>
          <w:p w:rsidR="00215377" w:rsidRDefault="00000000">
            <w:r>
              <w:rPr>
                <w:sz w:val="22"/>
                <w:szCs w:val="22"/>
              </w:rPr>
              <w:t>Classe B (dérivée)</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4</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Calcul de γ = 1/√(1−v²/c²)</w:t>
            </w:r>
          </w:p>
        </w:tc>
        <w:tc>
          <w:tcPr>
            <w:tcW w:w="3360" w:type="dxa"/>
            <w:tcBorders>
              <w:top w:val="single" w:sz="1" w:space="0" w:color="999999"/>
              <w:left w:val="single" w:sz="1" w:space="0" w:color="999999"/>
              <w:bottom w:val="single" w:sz="1" w:space="0" w:color="999999"/>
              <w:right w:val="single" w:sz="1" w:space="0" w:color="999999"/>
            </w:tcBorders>
            <w:shd w:val="clear" w:color="auto" w:fill="FFEBEE"/>
          </w:tcPr>
          <w:p w:rsidR="00215377" w:rsidRDefault="00000000">
            <w:r>
              <w:rPr>
                <w:sz w:val="22"/>
                <w:szCs w:val="22"/>
              </w:rPr>
              <w:t>Classe B (dérivée RR)</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5</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Prédiction τ = γ × τ₀</w:t>
            </w:r>
          </w:p>
        </w:tc>
        <w:tc>
          <w:tcPr>
            <w:tcW w:w="3360" w:type="dxa"/>
            <w:tcBorders>
              <w:top w:val="single" w:sz="1" w:space="0" w:color="999999"/>
              <w:left w:val="single" w:sz="1" w:space="0" w:color="999999"/>
              <w:bottom w:val="single" w:sz="1" w:space="0" w:color="999999"/>
              <w:right w:val="single" w:sz="1" w:space="0" w:color="999999"/>
            </w:tcBorders>
            <w:shd w:val="clear" w:color="auto" w:fill="FFEBEE"/>
          </w:tcPr>
          <w:p w:rsidR="00215377" w:rsidRDefault="00000000">
            <w:r>
              <w:rPr>
                <w:sz w:val="22"/>
                <w:szCs w:val="22"/>
              </w:rPr>
              <w:t>Classe B (dérivée RR)</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6</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 xml:space="preserve">Mesure de la durée de vie effective </w:t>
            </w:r>
            <w:proofErr w:type="spellStart"/>
            <w:r>
              <w:rPr>
                <w:sz w:val="22"/>
                <w:szCs w:val="22"/>
              </w:rPr>
              <w:t>τ_obs</w:t>
            </w:r>
            <w:proofErr w:type="spellEnd"/>
          </w:p>
        </w:tc>
        <w:tc>
          <w:tcPr>
            <w:tcW w:w="3360" w:type="dxa"/>
            <w:tcBorders>
              <w:top w:val="single" w:sz="1" w:space="0" w:color="999999"/>
              <w:left w:val="single" w:sz="1" w:space="0" w:color="999999"/>
              <w:bottom w:val="single" w:sz="1" w:space="0" w:color="999999"/>
              <w:right w:val="single" w:sz="1" w:space="0" w:color="999999"/>
            </w:tcBorders>
            <w:shd w:val="clear" w:color="auto" w:fill="E8F5E9"/>
          </w:tcPr>
          <w:p w:rsidR="00215377" w:rsidRDefault="00000000">
            <w:r>
              <w:rPr>
                <w:sz w:val="22"/>
                <w:szCs w:val="22"/>
              </w:rPr>
              <w:t>Classe A (brut)</w:t>
            </w:r>
          </w:p>
        </w:tc>
      </w:tr>
      <w:tr w:rsidR="002153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7</w:t>
            </w:r>
          </w:p>
        </w:tc>
        <w:tc>
          <w:tcPr>
            <w:tcW w:w="4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 xml:space="preserve">Comparaison </w:t>
            </w:r>
            <w:proofErr w:type="spellStart"/>
            <w:r>
              <w:rPr>
                <w:sz w:val="22"/>
                <w:szCs w:val="22"/>
              </w:rPr>
              <w:t>τ_obs</w:t>
            </w:r>
            <w:proofErr w:type="spellEnd"/>
            <w:r>
              <w:rPr>
                <w:sz w:val="22"/>
                <w:szCs w:val="22"/>
              </w:rPr>
              <w:t xml:space="preserve"> ≈ τ</w:t>
            </w:r>
          </w:p>
        </w:tc>
        <w:tc>
          <w:tcPr>
            <w:tcW w:w="3360" w:type="dxa"/>
            <w:tcBorders>
              <w:top w:val="single" w:sz="1" w:space="0" w:color="999999"/>
              <w:left w:val="single" w:sz="1" w:space="0" w:color="999999"/>
              <w:bottom w:val="single" w:sz="1" w:space="0" w:color="999999"/>
              <w:right w:val="single" w:sz="1" w:space="0" w:color="999999"/>
            </w:tcBorders>
            <w:shd w:val="clear" w:color="auto" w:fill="E3F2FD"/>
          </w:tcPr>
          <w:p w:rsidR="00215377" w:rsidRDefault="00000000">
            <w:r>
              <w:rPr>
                <w:sz w:val="22"/>
                <w:szCs w:val="22"/>
              </w:rPr>
              <w:t>Classe C (interprétation)</w:t>
            </w:r>
          </w:p>
        </w:tc>
      </w:tr>
    </w:tbl>
    <w:p w:rsidR="00215377" w:rsidRDefault="00000000">
      <w:pPr>
        <w:pStyle w:val="Titre2"/>
        <w:spacing w:before="360"/>
      </w:pPr>
      <w:r>
        <w:t>3.2 Identification de la circularité</w:t>
      </w:r>
    </w:p>
    <w:p w:rsidR="00215377" w:rsidRDefault="00000000">
      <w:r>
        <w:t xml:space="preserve">Le problème se situe à l'étape 4 : le facteur γ = 29.3 n'est pas </w:t>
      </w:r>
      <w:r>
        <w:rPr>
          <w:i/>
          <w:iCs/>
        </w:rPr>
        <w:t>mesuré</w:t>
      </w:r>
      <w:r>
        <w:t xml:space="preserve">, il est </w:t>
      </w:r>
      <w:r>
        <w:rPr>
          <w:i/>
          <w:iCs/>
        </w:rPr>
        <w:t>calculé</w:t>
      </w:r>
      <w:r>
        <w:t xml:space="preserve"> via la formule de Lorentz. L'accord observé à l'étape 7 démontre donc uniquement que :</w:t>
      </w:r>
    </w:p>
    <w:p w:rsidR="00215377" w:rsidRDefault="00000000">
      <w:pPr>
        <w:spacing w:before="120"/>
        <w:jc w:val="center"/>
      </w:pPr>
      <w:r>
        <w:rPr>
          <w:b/>
          <w:bCs/>
          <w:i/>
          <w:iCs/>
        </w:rPr>
        <w:t>La RR est internement cohérente</w:t>
      </w:r>
    </w:p>
    <w:p w:rsidR="00215377" w:rsidRDefault="00000000">
      <w:pPr>
        <w:spacing w:before="120"/>
      </w:pPr>
      <w:r>
        <w:t xml:space="preserve">Ceci n'était jamais en doute. Toute théorie scientifique doit être cohérente avec elle-même. La question pertinente est : cette cohérence interne est-elle </w:t>
      </w:r>
      <w:r>
        <w:rPr>
          <w:i/>
          <w:iCs/>
        </w:rPr>
        <w:t>unique</w:t>
      </w:r>
      <w:r>
        <w:t xml:space="preserve"> à la RR, ou d'autres théories pourraient-elles également produire des prédictions cohérentes ?</w:t>
      </w:r>
    </w:p>
    <w:p w:rsidR="00215377" w:rsidRDefault="00000000">
      <w:pPr>
        <w:pStyle w:val="Titre2"/>
      </w:pPr>
      <w:r>
        <w:t>3.3 La précision de 0.1% : auto-cohérence, pas validation externe</w:t>
      </w:r>
    </w:p>
    <w:p w:rsidR="00215377" w:rsidRDefault="00000000">
      <w:r>
        <w:t>Les publications mentionnent souvent une précision de 0.1% comme « confirmation » de la RR. Cette précision remarquable reflète :</w:t>
      </w:r>
    </w:p>
    <w:p w:rsidR="00215377" w:rsidRDefault="00000000">
      <w:pPr>
        <w:pStyle w:val="Paragraphedeliste"/>
        <w:numPr>
          <w:ilvl w:val="0"/>
          <w:numId w:val="3"/>
        </w:numPr>
      </w:pPr>
      <w:r>
        <w:t>La qualité des instruments de mesure (horloges, détecteurs)</w:t>
      </w:r>
    </w:p>
    <w:p w:rsidR="00215377" w:rsidRDefault="00000000">
      <w:pPr>
        <w:pStyle w:val="Paragraphedeliste"/>
        <w:numPr>
          <w:ilvl w:val="0"/>
          <w:numId w:val="3"/>
        </w:numPr>
      </w:pPr>
      <w:r>
        <w:t>La cohérence du formalisme mathématique de la RR</w:t>
      </w:r>
    </w:p>
    <w:p w:rsidR="00215377" w:rsidRDefault="00000000">
      <w:pPr>
        <w:pStyle w:val="Paragraphedeliste"/>
        <w:numPr>
          <w:ilvl w:val="0"/>
          <w:numId w:val="3"/>
        </w:numPr>
      </w:pPr>
      <w:r>
        <w:t>La maîtrise des corrections systématiques</w:t>
      </w:r>
    </w:p>
    <w:p w:rsidR="00215377" w:rsidRDefault="00000000">
      <w:pPr>
        <w:spacing w:before="120"/>
      </w:pPr>
      <w:r>
        <w:t xml:space="preserve">Elle ne constitue </w:t>
      </w:r>
      <w:r>
        <w:rPr>
          <w:b/>
          <w:bCs/>
        </w:rPr>
        <w:t>pas</w:t>
      </w:r>
      <w:r>
        <w:t xml:space="preserve"> un test discriminant face à une théorie alternative, car aucune prédiction alternative n'a été comparée aux mêmes observables bruts.</w:t>
      </w:r>
    </w:p>
    <w:p w:rsidR="00215377" w:rsidRDefault="00000000">
      <w:pPr>
        <w:pStyle w:val="Titre1"/>
      </w:pPr>
      <w:r>
        <w:t>4. Protocole de test équitable : RR versus Gramets</w:t>
      </w:r>
    </w:p>
    <w:p w:rsidR="00215377" w:rsidRDefault="00000000">
      <w:pPr>
        <w:pStyle w:val="Titre2"/>
      </w:pPr>
      <w:r>
        <w:t>4.1 Observables bruts requis</w:t>
      </w:r>
    </w:p>
    <w:p w:rsidR="00215377" w:rsidRDefault="00000000">
      <w:r>
        <w:lastRenderedPageBreak/>
        <w:t>Un test véritablement discriminant nécessite les observables bruts suivants, mesurés indépendamment de toute théorie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36"/>
        <w:gridCol w:w="3834"/>
        <w:gridCol w:w="3250"/>
      </w:tblGrid>
      <w:tr w:rsidR="00215377">
        <w:tblPrEx>
          <w:tblCellMar>
            <w:top w:w="0" w:type="dxa"/>
            <w:bottom w:w="0" w:type="dxa"/>
          </w:tblCellMar>
        </w:tblPrEx>
        <w:trPr>
          <w:tblHeader/>
        </w:trPr>
        <w:tc>
          <w:tcPr>
            <w:tcW w:w="20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Symbole</w:t>
            </w:r>
          </w:p>
        </w:tc>
        <w:tc>
          <w:tcPr>
            <w:tcW w:w="40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Observable</w:t>
            </w:r>
          </w:p>
        </w:tc>
        <w:tc>
          <w:tcPr>
            <w:tcW w:w="336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Méthode de mesure</w:t>
            </w:r>
          </w:p>
        </w:tc>
      </w:tr>
      <w:tr w:rsidR="002153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proofErr w:type="gramStart"/>
            <w:r>
              <w:rPr>
                <w:b/>
                <w:bCs/>
                <w:sz w:val="22"/>
                <w:szCs w:val="22"/>
              </w:rPr>
              <w:t>r</w:t>
            </w:r>
            <w:proofErr w:type="gramEnd"/>
          </w:p>
        </w:tc>
        <w:tc>
          <w:tcPr>
            <w:tcW w:w="40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Rayon de l'anneau de stockage</w:t>
            </w:r>
          </w:p>
        </w:tc>
        <w:tc>
          <w:tcPr>
            <w:tcW w:w="33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Géodésie, interférométrie</w:t>
            </w:r>
          </w:p>
        </w:tc>
      </w:tr>
      <w:tr w:rsidR="002153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b/>
                <w:bCs/>
                <w:sz w:val="22"/>
                <w:szCs w:val="22"/>
              </w:rPr>
              <w:t>T</w:t>
            </w:r>
          </w:p>
        </w:tc>
        <w:tc>
          <w:tcPr>
            <w:tcW w:w="40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Période de révolution</w:t>
            </w:r>
          </w:p>
        </w:tc>
        <w:tc>
          <w:tcPr>
            <w:tcW w:w="33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Chronométrie directe</w:t>
            </w:r>
          </w:p>
        </w:tc>
      </w:tr>
      <w:tr w:rsidR="002153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proofErr w:type="gramStart"/>
            <w:r>
              <w:rPr>
                <w:b/>
                <w:bCs/>
                <w:sz w:val="22"/>
                <w:szCs w:val="22"/>
              </w:rPr>
              <w:t>τ</w:t>
            </w:r>
            <w:proofErr w:type="gramEnd"/>
            <w:r>
              <w:rPr>
                <w:b/>
                <w:bCs/>
                <w:sz w:val="22"/>
                <w:szCs w:val="22"/>
              </w:rPr>
              <w:t>₀</w:t>
            </w:r>
          </w:p>
        </w:tc>
        <w:tc>
          <w:tcPr>
            <w:tcW w:w="40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Durée de vie au repos du muon</w:t>
            </w:r>
          </w:p>
        </w:tc>
        <w:tc>
          <w:tcPr>
            <w:tcW w:w="33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Muons lents (v ≈ 0)</w:t>
            </w:r>
          </w:p>
        </w:tc>
      </w:tr>
      <w:tr w:rsidR="002153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proofErr w:type="spellStart"/>
            <w:proofErr w:type="gramStart"/>
            <w:r>
              <w:rPr>
                <w:b/>
                <w:bCs/>
                <w:sz w:val="22"/>
                <w:szCs w:val="22"/>
              </w:rPr>
              <w:t>τ</w:t>
            </w:r>
            <w:proofErr w:type="gramEnd"/>
            <w:r>
              <w:rPr>
                <w:b/>
                <w:bCs/>
                <w:sz w:val="22"/>
                <w:szCs w:val="22"/>
              </w:rPr>
              <w:t>_obs</w:t>
            </w:r>
            <w:proofErr w:type="spellEnd"/>
          </w:p>
        </w:tc>
        <w:tc>
          <w:tcPr>
            <w:tcW w:w="40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Durée de vie observée en mouvement</w:t>
            </w:r>
          </w:p>
        </w:tc>
        <w:tc>
          <w:tcPr>
            <w:tcW w:w="33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Comptage de désintégrations</w:t>
            </w:r>
          </w:p>
        </w:tc>
      </w:tr>
      <w:tr w:rsidR="002153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b/>
                <w:bCs/>
                <w:sz w:val="22"/>
                <w:szCs w:val="22"/>
              </w:rPr>
              <w:t>N(t)</w:t>
            </w:r>
          </w:p>
        </w:tc>
        <w:tc>
          <w:tcPr>
            <w:tcW w:w="40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Population de muons au temps t</w:t>
            </w:r>
          </w:p>
        </w:tc>
        <w:tc>
          <w:tcPr>
            <w:tcW w:w="33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Détecteurs à différentes positions</w:t>
            </w:r>
          </w:p>
        </w:tc>
      </w:tr>
    </w:tbl>
    <w:p w:rsidR="00215377" w:rsidRDefault="00000000">
      <w:pPr>
        <w:pStyle w:val="Titre2"/>
        <w:spacing w:before="360"/>
      </w:pPr>
      <w:r>
        <w:t>4.2 Grandeur dérivée commune</w:t>
      </w:r>
    </w:p>
    <w:p w:rsidR="00215377" w:rsidRDefault="00000000">
      <w:r>
        <w:t>À partir des observables bruts r et T, on calcule la vitesse :</w:t>
      </w:r>
    </w:p>
    <w:p w:rsidR="00215377" w:rsidRDefault="00000000">
      <w:pPr>
        <w:spacing w:before="120" w:after="120"/>
        <w:jc w:val="center"/>
      </w:pPr>
      <w:proofErr w:type="gramStart"/>
      <w:r>
        <w:rPr>
          <w:b/>
          <w:bCs/>
          <w:sz w:val="26"/>
          <w:szCs w:val="26"/>
        </w:rPr>
        <w:t>v</w:t>
      </w:r>
      <w:proofErr w:type="gramEnd"/>
      <w:r>
        <w:rPr>
          <w:b/>
          <w:bCs/>
          <w:sz w:val="26"/>
          <w:szCs w:val="26"/>
        </w:rPr>
        <w:t xml:space="preserve"> = 2πr / T</w:t>
      </w:r>
    </w:p>
    <w:p w:rsidR="00215377" w:rsidRDefault="00000000">
      <w:r>
        <w:t>Cette grandeur est dérivée mais ne dépend d'aucune théorie de la relativité. Elle constitue le point de départ commun pour les deux prédictions.</w:t>
      </w:r>
    </w:p>
    <w:p w:rsidR="00215377" w:rsidRDefault="00000000">
      <w:pPr>
        <w:pStyle w:val="Titre2"/>
      </w:pPr>
      <w:r>
        <w:t>4.3 Prédictions théoriques concurrentes</w:t>
      </w:r>
    </w:p>
    <w:p w:rsidR="00215377" w:rsidRDefault="00000000">
      <w:r>
        <w:rPr>
          <w:b/>
          <w:bCs/>
        </w:rPr>
        <w:t>Relativité Restreinte :</w:t>
      </w:r>
    </w:p>
    <w:p w:rsidR="00215377" w:rsidRDefault="00000000">
      <w:pPr>
        <w:spacing w:before="80" w:after="80"/>
        <w:jc w:val="center"/>
      </w:pPr>
      <w:proofErr w:type="spellStart"/>
      <w:proofErr w:type="gramStart"/>
      <w:r>
        <w:t>γ</w:t>
      </w:r>
      <w:proofErr w:type="gramEnd"/>
      <w:r>
        <w:t>_RR</w:t>
      </w:r>
      <w:proofErr w:type="spellEnd"/>
      <w:r>
        <w:t xml:space="preserve"> = 1 / </w:t>
      </w:r>
      <w:proofErr w:type="gramStart"/>
      <w:r>
        <w:t>√(</w:t>
      </w:r>
      <w:proofErr w:type="gramEnd"/>
      <w:r>
        <w:t>1 − v²/c²)</w:t>
      </w:r>
    </w:p>
    <w:p w:rsidR="00215377" w:rsidRDefault="00000000">
      <w:pPr>
        <w:spacing w:after="160"/>
        <w:jc w:val="center"/>
      </w:pPr>
      <w:proofErr w:type="spellStart"/>
      <w:proofErr w:type="gramStart"/>
      <w:r>
        <w:t>τ</w:t>
      </w:r>
      <w:proofErr w:type="gramEnd"/>
      <w:r>
        <w:t>_RR</w:t>
      </w:r>
      <w:proofErr w:type="spellEnd"/>
      <w:r>
        <w:t xml:space="preserve"> = </w:t>
      </w:r>
      <w:proofErr w:type="spellStart"/>
      <w:r>
        <w:t>γ_RR</w:t>
      </w:r>
      <w:proofErr w:type="spellEnd"/>
      <w:r>
        <w:t xml:space="preserve"> × τ₀</w:t>
      </w:r>
    </w:p>
    <w:p w:rsidR="00215377" w:rsidRDefault="00000000">
      <w:r>
        <w:rPr>
          <w:b/>
          <w:bCs/>
        </w:rPr>
        <w:t>Théorie Gramets (version cinématique) :</w:t>
      </w:r>
    </w:p>
    <w:p w:rsidR="00215377" w:rsidRDefault="00000000">
      <w:pPr>
        <w:spacing w:before="80" w:after="80"/>
        <w:jc w:val="center"/>
      </w:pPr>
      <w:proofErr w:type="spellStart"/>
      <w:r>
        <w:t>Δt_c</w:t>
      </w:r>
      <w:proofErr w:type="spellEnd"/>
      <w:r>
        <w:t xml:space="preserve">(v) = v² / (c² × </w:t>
      </w:r>
      <w:proofErr w:type="gramStart"/>
      <w:r>
        <w:t>√(</w:t>
      </w:r>
      <w:proofErr w:type="gramEnd"/>
      <w:r>
        <w:t>4 − 3(v/c)))</w:t>
      </w:r>
    </w:p>
    <w:p w:rsidR="00215377" w:rsidRDefault="00000000">
      <w:pPr>
        <w:spacing w:after="80"/>
        <w:jc w:val="center"/>
      </w:pPr>
      <w:proofErr w:type="spellStart"/>
      <w:proofErr w:type="gramStart"/>
      <w:r>
        <w:t>γ</w:t>
      </w:r>
      <w:proofErr w:type="gramEnd"/>
      <w:r>
        <w:t>_G</w:t>
      </w:r>
      <w:proofErr w:type="spellEnd"/>
      <w:r>
        <w:t xml:space="preserve"> = 1 / (1 − </w:t>
      </w:r>
      <w:proofErr w:type="spellStart"/>
      <w:r>
        <w:t>Δt_c</w:t>
      </w:r>
      <w:proofErr w:type="spellEnd"/>
      <w:r>
        <w:t>)</w:t>
      </w:r>
    </w:p>
    <w:p w:rsidR="00215377" w:rsidRDefault="00000000">
      <w:pPr>
        <w:spacing w:after="160"/>
        <w:jc w:val="center"/>
      </w:pPr>
      <w:proofErr w:type="spellStart"/>
      <w:proofErr w:type="gramStart"/>
      <w:r>
        <w:t>τ</w:t>
      </w:r>
      <w:proofErr w:type="gramEnd"/>
      <w:r>
        <w:t>_G</w:t>
      </w:r>
      <w:proofErr w:type="spellEnd"/>
      <w:r>
        <w:t xml:space="preserve"> = </w:t>
      </w:r>
      <w:proofErr w:type="spellStart"/>
      <w:r>
        <w:t>γ_G</w:t>
      </w:r>
      <w:proofErr w:type="spellEnd"/>
      <w:r>
        <w:t xml:space="preserve"> × τ₀</w:t>
      </w:r>
    </w:p>
    <w:p w:rsidR="00215377" w:rsidRDefault="00000000">
      <w:pPr>
        <w:pStyle w:val="Titre2"/>
      </w:pPr>
      <w:r>
        <w:t>4.4 Protocole de comparaison</w:t>
      </w:r>
    </w:p>
    <w:p w:rsidR="00215377" w:rsidRDefault="00000000">
      <w:pPr>
        <w:pStyle w:val="Paragraphedeliste"/>
        <w:numPr>
          <w:ilvl w:val="0"/>
          <w:numId w:val="4"/>
        </w:numPr>
      </w:pPr>
      <w:r>
        <w:t>Mesurer r et T (observables bruts)</w:t>
      </w:r>
    </w:p>
    <w:p w:rsidR="00215377" w:rsidRDefault="00000000">
      <w:pPr>
        <w:pStyle w:val="Paragraphedeliste"/>
        <w:numPr>
          <w:ilvl w:val="0"/>
          <w:numId w:val="4"/>
        </w:numPr>
      </w:pPr>
      <w:r>
        <w:t>Calculer v = 2πr/T (grandeur dérivée commune)</w:t>
      </w:r>
    </w:p>
    <w:p w:rsidR="00215377" w:rsidRDefault="00000000">
      <w:pPr>
        <w:pStyle w:val="Paragraphedeliste"/>
        <w:numPr>
          <w:ilvl w:val="0"/>
          <w:numId w:val="4"/>
        </w:numPr>
      </w:pPr>
      <w:r>
        <w:t xml:space="preserve">Mesurer </w:t>
      </w:r>
      <w:proofErr w:type="spellStart"/>
      <w:r>
        <w:t>τ_obs</w:t>
      </w:r>
      <w:proofErr w:type="spellEnd"/>
      <w:r>
        <w:t xml:space="preserve"> (observable brut)</w:t>
      </w:r>
    </w:p>
    <w:p w:rsidR="00215377" w:rsidRDefault="00000000">
      <w:pPr>
        <w:pStyle w:val="Paragraphedeliste"/>
        <w:numPr>
          <w:ilvl w:val="0"/>
          <w:numId w:val="4"/>
        </w:numPr>
      </w:pPr>
      <w:r>
        <w:t xml:space="preserve">Calculer </w:t>
      </w:r>
      <w:proofErr w:type="spellStart"/>
      <w:r>
        <w:t>γ_RR</w:t>
      </w:r>
      <w:proofErr w:type="spellEnd"/>
      <w:r>
        <w:t xml:space="preserve"> selon la formule de Lorentz</w:t>
      </w:r>
    </w:p>
    <w:p w:rsidR="00215377" w:rsidRDefault="00000000">
      <w:pPr>
        <w:pStyle w:val="Paragraphedeliste"/>
        <w:numPr>
          <w:ilvl w:val="0"/>
          <w:numId w:val="4"/>
        </w:numPr>
      </w:pPr>
      <w:r>
        <w:t xml:space="preserve">Calculer </w:t>
      </w:r>
      <w:proofErr w:type="spellStart"/>
      <w:r>
        <w:t>γ_G</w:t>
      </w:r>
      <w:proofErr w:type="spellEnd"/>
      <w:r>
        <w:t xml:space="preserve"> selon la formule Gramets</w:t>
      </w:r>
    </w:p>
    <w:p w:rsidR="00215377" w:rsidRDefault="00000000">
      <w:pPr>
        <w:pStyle w:val="Paragraphedeliste"/>
        <w:numPr>
          <w:ilvl w:val="0"/>
          <w:numId w:val="4"/>
        </w:numPr>
      </w:pPr>
      <w:r>
        <w:t>Comparer les écarts |</w:t>
      </w:r>
      <w:proofErr w:type="spellStart"/>
      <w:r>
        <w:t>γ_RR</w:t>
      </w:r>
      <w:proofErr w:type="spellEnd"/>
      <w:r>
        <w:t xml:space="preserve"> − </w:t>
      </w:r>
      <w:proofErr w:type="spellStart"/>
      <w:r>
        <w:t>τ_obs</w:t>
      </w:r>
      <w:proofErr w:type="spellEnd"/>
      <w:r>
        <w:t xml:space="preserve">/τ₀| </w:t>
      </w:r>
      <w:proofErr w:type="spellStart"/>
      <w:r>
        <w:t>et</w:t>
      </w:r>
      <w:proofErr w:type="spellEnd"/>
      <w:r>
        <w:t xml:space="preserve"> |</w:t>
      </w:r>
      <w:proofErr w:type="spellStart"/>
      <w:r>
        <w:t>γ_G</w:t>
      </w:r>
      <w:proofErr w:type="spellEnd"/>
      <w:r>
        <w:t xml:space="preserve"> − </w:t>
      </w:r>
      <w:proofErr w:type="spellStart"/>
      <w:r>
        <w:t>τ_obs</w:t>
      </w:r>
      <w:proofErr w:type="spellEnd"/>
      <w:r>
        <w:t>/τ₀|</w:t>
      </w:r>
    </w:p>
    <w:p w:rsidR="00215377" w:rsidRDefault="00000000">
      <w:pPr>
        <w:pStyle w:val="Paragraphedeliste"/>
        <w:numPr>
          <w:ilvl w:val="0"/>
          <w:numId w:val="4"/>
        </w:numPr>
      </w:pPr>
      <w:r>
        <w:t>La théorie avec l'écart le plus faible est favorisée</w:t>
      </w:r>
    </w:p>
    <w:p w:rsidR="00215377" w:rsidRDefault="00000000">
      <w:pPr>
        <w:pStyle w:val="Titre1"/>
      </w:pPr>
      <w:r>
        <w:t>5. Application aux données CERN (Bailey et al., 1977)</w:t>
      </w:r>
    </w:p>
    <w:p w:rsidR="00215377" w:rsidRDefault="00000000">
      <w:pPr>
        <w:pStyle w:val="Titre2"/>
      </w:pPr>
      <w:r>
        <w:t>5.1 Données rapportées</w:t>
      </w:r>
    </w:p>
    <w:p w:rsidR="00215377" w:rsidRDefault="00000000">
      <w:r>
        <w:t>L'expérience du Muon Storage Ring du CERN (Bailey et al., 1977) rapporte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12"/>
        <w:gridCol w:w="2995"/>
        <w:gridCol w:w="3013"/>
      </w:tblGrid>
      <w:tr w:rsidR="00215377">
        <w:tblPrEx>
          <w:tblCellMar>
            <w:top w:w="0" w:type="dxa"/>
            <w:bottom w:w="0" w:type="dxa"/>
          </w:tblCellMar>
        </w:tblPrEx>
        <w:trPr>
          <w:tblHeader/>
        </w:trPr>
        <w:tc>
          <w:tcPr>
            <w:tcW w:w="312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Grandeur</w:t>
            </w:r>
          </w:p>
        </w:tc>
        <w:tc>
          <w:tcPr>
            <w:tcW w:w="312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Valeur</w:t>
            </w:r>
          </w:p>
        </w:tc>
        <w:tc>
          <w:tcPr>
            <w:tcW w:w="312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Catégorie</w:t>
            </w:r>
          </w:p>
        </w:tc>
      </w:tr>
      <w:tr w:rsidR="00215377">
        <w:tblPrEx>
          <w:tblCellMar>
            <w:top w:w="0" w:type="dxa"/>
            <w:bottom w:w="0" w:type="dxa"/>
          </w:tblCellMar>
        </w:tblPrEx>
        <w:tc>
          <w:tcPr>
            <w:tcW w:w="3120" w:type="dxa"/>
            <w:tcBorders>
              <w:top w:val="single" w:sz="1" w:space="0" w:color="999999"/>
              <w:left w:val="single" w:sz="1" w:space="0" w:color="999999"/>
              <w:bottom w:val="single" w:sz="1" w:space="0" w:color="999999"/>
              <w:right w:val="single" w:sz="1" w:space="0" w:color="999999"/>
            </w:tcBorders>
          </w:tcPr>
          <w:p w:rsidR="00215377" w:rsidRDefault="00000000">
            <w:proofErr w:type="gramStart"/>
            <w:r>
              <w:rPr>
                <w:sz w:val="22"/>
                <w:szCs w:val="22"/>
              </w:rPr>
              <w:t>v</w:t>
            </w:r>
            <w:proofErr w:type="gramEnd"/>
            <w:r>
              <w:rPr>
                <w:sz w:val="22"/>
                <w:szCs w:val="22"/>
              </w:rPr>
              <w:t xml:space="preserve"> / c</w:t>
            </w:r>
          </w:p>
        </w:tc>
        <w:tc>
          <w:tcPr>
            <w:tcW w:w="312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0.9994</w:t>
            </w:r>
          </w:p>
        </w:tc>
        <w:tc>
          <w:tcPr>
            <w:tcW w:w="312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Dérivée (Classe B)</w:t>
            </w:r>
          </w:p>
        </w:tc>
      </w:tr>
      <w:tr w:rsidR="00215377">
        <w:tblPrEx>
          <w:tblCellMar>
            <w:top w:w="0" w:type="dxa"/>
            <w:bottom w:w="0" w:type="dxa"/>
          </w:tblCellMar>
        </w:tblPrEx>
        <w:tc>
          <w:tcPr>
            <w:tcW w:w="3120" w:type="dxa"/>
            <w:tcBorders>
              <w:top w:val="single" w:sz="1" w:space="0" w:color="999999"/>
              <w:left w:val="single" w:sz="1" w:space="0" w:color="999999"/>
              <w:bottom w:val="single" w:sz="1" w:space="0" w:color="999999"/>
              <w:right w:val="single" w:sz="1" w:space="0" w:color="999999"/>
            </w:tcBorders>
          </w:tcPr>
          <w:p w:rsidR="00215377" w:rsidRDefault="00000000">
            <w:proofErr w:type="gramStart"/>
            <w:r>
              <w:rPr>
                <w:sz w:val="22"/>
                <w:szCs w:val="22"/>
              </w:rPr>
              <w:t>γ</w:t>
            </w:r>
            <w:proofErr w:type="gramEnd"/>
            <w:r>
              <w:rPr>
                <w:sz w:val="22"/>
                <w:szCs w:val="22"/>
              </w:rPr>
              <w:t xml:space="preserve"> rapporté</w:t>
            </w:r>
          </w:p>
        </w:tc>
        <w:tc>
          <w:tcPr>
            <w:tcW w:w="312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29.327 ± 0.004</w:t>
            </w:r>
          </w:p>
        </w:tc>
        <w:tc>
          <w:tcPr>
            <w:tcW w:w="312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Dérivée RR (Classe B)</w:t>
            </w:r>
          </w:p>
        </w:tc>
      </w:tr>
      <w:tr w:rsidR="00215377">
        <w:tblPrEx>
          <w:tblCellMar>
            <w:top w:w="0" w:type="dxa"/>
            <w:bottom w:w="0" w:type="dxa"/>
          </w:tblCellMar>
        </w:tblPrEx>
        <w:tc>
          <w:tcPr>
            <w:tcW w:w="3120" w:type="dxa"/>
            <w:tcBorders>
              <w:top w:val="single" w:sz="1" w:space="0" w:color="999999"/>
              <w:left w:val="single" w:sz="1" w:space="0" w:color="999999"/>
              <w:bottom w:val="single" w:sz="1" w:space="0" w:color="999999"/>
              <w:right w:val="single" w:sz="1" w:space="0" w:color="999999"/>
            </w:tcBorders>
          </w:tcPr>
          <w:p w:rsidR="00215377" w:rsidRDefault="00000000">
            <w:proofErr w:type="spellStart"/>
            <w:proofErr w:type="gramStart"/>
            <w:r>
              <w:rPr>
                <w:sz w:val="22"/>
                <w:szCs w:val="22"/>
              </w:rPr>
              <w:t>τ</w:t>
            </w:r>
            <w:proofErr w:type="gramEnd"/>
            <w:r>
              <w:rPr>
                <w:sz w:val="22"/>
                <w:szCs w:val="22"/>
              </w:rPr>
              <w:t>_obs</w:t>
            </w:r>
            <w:proofErr w:type="spellEnd"/>
            <w:r>
              <w:rPr>
                <w:sz w:val="22"/>
                <w:szCs w:val="22"/>
              </w:rPr>
              <w:t xml:space="preserve"> / τ₀</w:t>
            </w:r>
          </w:p>
        </w:tc>
        <w:tc>
          <w:tcPr>
            <w:tcW w:w="312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 29</w:t>
            </w:r>
          </w:p>
        </w:tc>
        <w:tc>
          <w:tcPr>
            <w:tcW w:w="3120" w:type="dxa"/>
            <w:tcBorders>
              <w:top w:val="single" w:sz="1" w:space="0" w:color="999999"/>
              <w:left w:val="single" w:sz="1" w:space="0" w:color="999999"/>
              <w:bottom w:val="single" w:sz="1" w:space="0" w:color="999999"/>
              <w:right w:val="single" w:sz="1" w:space="0" w:color="999999"/>
            </w:tcBorders>
            <w:shd w:val="clear" w:color="auto" w:fill="E8F5E9"/>
          </w:tcPr>
          <w:p w:rsidR="00215377" w:rsidRDefault="00000000">
            <w:r>
              <w:rPr>
                <w:sz w:val="22"/>
                <w:szCs w:val="22"/>
              </w:rPr>
              <w:t>Brut (Classe A)</w:t>
            </w:r>
          </w:p>
        </w:tc>
      </w:tr>
    </w:tbl>
    <w:p w:rsidR="00215377" w:rsidRDefault="00000000">
      <w:pPr>
        <w:pStyle w:val="Titre2"/>
        <w:spacing w:before="360"/>
      </w:pPr>
      <w:r>
        <w:t>5.2 Prédictions comparées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5"/>
        <w:gridCol w:w="2266"/>
        <w:gridCol w:w="2254"/>
        <w:gridCol w:w="2235"/>
      </w:tblGrid>
      <w:tr w:rsidR="00215377">
        <w:tblPrEx>
          <w:tblCellMar>
            <w:top w:w="0" w:type="dxa"/>
            <w:bottom w:w="0" w:type="dxa"/>
          </w:tblCellMar>
        </w:tblPrEx>
        <w:trPr>
          <w:tblHeader/>
        </w:trPr>
        <w:tc>
          <w:tcPr>
            <w:tcW w:w="234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lastRenderedPageBreak/>
              <w:t>Théorie</w:t>
            </w:r>
          </w:p>
        </w:tc>
        <w:tc>
          <w:tcPr>
            <w:tcW w:w="234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Prédiction</w:t>
            </w:r>
          </w:p>
        </w:tc>
        <w:tc>
          <w:tcPr>
            <w:tcW w:w="234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Observé</w:t>
            </w:r>
          </w:p>
        </w:tc>
        <w:tc>
          <w:tcPr>
            <w:tcW w:w="234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Écart</w:t>
            </w:r>
          </w:p>
        </w:tc>
      </w:tr>
      <w:tr w:rsidR="00215377">
        <w:tblPrEx>
          <w:tblCellMar>
            <w:top w:w="0" w:type="dxa"/>
            <w:bottom w:w="0" w:type="dxa"/>
          </w:tblCellMar>
        </w:tblPrEx>
        <w:tc>
          <w:tcPr>
            <w:tcW w:w="2340" w:type="dxa"/>
            <w:tcBorders>
              <w:top w:val="single" w:sz="1" w:space="0" w:color="999999"/>
              <w:left w:val="single" w:sz="1" w:space="0" w:color="999999"/>
              <w:bottom w:val="single" w:sz="1" w:space="0" w:color="999999"/>
              <w:right w:val="single" w:sz="1" w:space="0" w:color="999999"/>
            </w:tcBorders>
          </w:tcPr>
          <w:p w:rsidR="00215377" w:rsidRDefault="00000000">
            <w:r>
              <w:rPr>
                <w:b/>
                <w:bCs/>
                <w:sz w:val="22"/>
                <w:szCs w:val="22"/>
              </w:rPr>
              <w:t>Relativité Restreinte</w:t>
            </w:r>
          </w:p>
        </w:tc>
        <w:tc>
          <w:tcPr>
            <w:tcW w:w="2340" w:type="dxa"/>
            <w:tcBorders>
              <w:top w:val="single" w:sz="1" w:space="0" w:color="999999"/>
              <w:left w:val="single" w:sz="1" w:space="0" w:color="999999"/>
              <w:bottom w:val="single" w:sz="1" w:space="0" w:color="999999"/>
              <w:right w:val="single" w:sz="1" w:space="0" w:color="999999"/>
            </w:tcBorders>
          </w:tcPr>
          <w:p w:rsidR="00215377" w:rsidRDefault="00000000">
            <w:pPr>
              <w:jc w:val="center"/>
            </w:pPr>
            <w:proofErr w:type="gramStart"/>
            <w:r>
              <w:rPr>
                <w:sz w:val="22"/>
                <w:szCs w:val="22"/>
              </w:rPr>
              <w:t>γ</w:t>
            </w:r>
            <w:proofErr w:type="gramEnd"/>
            <w:r>
              <w:rPr>
                <w:sz w:val="22"/>
                <w:szCs w:val="22"/>
              </w:rPr>
              <w:t xml:space="preserve"> = 29.3</w:t>
            </w:r>
          </w:p>
        </w:tc>
        <w:tc>
          <w:tcPr>
            <w:tcW w:w="234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 29</w:t>
            </w:r>
          </w:p>
        </w:tc>
        <w:tc>
          <w:tcPr>
            <w:tcW w:w="2340" w:type="dxa"/>
            <w:tcBorders>
              <w:top w:val="single" w:sz="1" w:space="0" w:color="999999"/>
              <w:left w:val="single" w:sz="1" w:space="0" w:color="999999"/>
              <w:bottom w:val="single" w:sz="1" w:space="0" w:color="999999"/>
              <w:right w:val="single" w:sz="1" w:space="0" w:color="999999"/>
            </w:tcBorders>
            <w:shd w:val="clear" w:color="auto" w:fill="E8F5E9"/>
          </w:tcPr>
          <w:p w:rsidR="00215377" w:rsidRDefault="00000000">
            <w:pPr>
              <w:jc w:val="center"/>
            </w:pPr>
            <w:r>
              <w:rPr>
                <w:sz w:val="22"/>
                <w:szCs w:val="22"/>
              </w:rPr>
              <w:t>~1%</w:t>
            </w:r>
          </w:p>
        </w:tc>
      </w:tr>
      <w:tr w:rsidR="00215377">
        <w:tblPrEx>
          <w:tblCellMar>
            <w:top w:w="0" w:type="dxa"/>
            <w:bottom w:w="0" w:type="dxa"/>
          </w:tblCellMar>
        </w:tblPrEx>
        <w:tc>
          <w:tcPr>
            <w:tcW w:w="2340" w:type="dxa"/>
            <w:tcBorders>
              <w:top w:val="single" w:sz="1" w:space="0" w:color="999999"/>
              <w:left w:val="single" w:sz="1" w:space="0" w:color="999999"/>
              <w:bottom w:val="single" w:sz="1" w:space="0" w:color="999999"/>
              <w:right w:val="single" w:sz="1" w:space="0" w:color="999999"/>
            </w:tcBorders>
          </w:tcPr>
          <w:p w:rsidR="00215377" w:rsidRDefault="00000000">
            <w:r>
              <w:rPr>
                <w:b/>
                <w:bCs/>
                <w:sz w:val="22"/>
                <w:szCs w:val="22"/>
              </w:rPr>
              <w:t>Gramets C(v)</w:t>
            </w:r>
          </w:p>
        </w:tc>
        <w:tc>
          <w:tcPr>
            <w:tcW w:w="2340" w:type="dxa"/>
            <w:tcBorders>
              <w:top w:val="single" w:sz="1" w:space="0" w:color="999999"/>
              <w:left w:val="single" w:sz="1" w:space="0" w:color="999999"/>
              <w:bottom w:val="single" w:sz="1" w:space="0" w:color="999999"/>
              <w:right w:val="single" w:sz="1" w:space="0" w:color="999999"/>
            </w:tcBorders>
          </w:tcPr>
          <w:p w:rsidR="00215377" w:rsidRDefault="00000000">
            <w:pPr>
              <w:jc w:val="center"/>
            </w:pPr>
            <w:proofErr w:type="gramStart"/>
            <w:r>
              <w:rPr>
                <w:sz w:val="22"/>
                <w:szCs w:val="22"/>
              </w:rPr>
              <w:t>γ</w:t>
            </w:r>
            <w:proofErr w:type="gramEnd"/>
            <w:r>
              <w:rPr>
                <w:sz w:val="22"/>
                <w:szCs w:val="22"/>
              </w:rPr>
              <w:t xml:space="preserve"> ≈ 16</w:t>
            </w:r>
          </w:p>
        </w:tc>
        <w:tc>
          <w:tcPr>
            <w:tcW w:w="2340" w:type="dxa"/>
            <w:tcBorders>
              <w:top w:val="single" w:sz="1" w:space="0" w:color="999999"/>
              <w:left w:val="single" w:sz="1" w:space="0" w:color="999999"/>
              <w:bottom w:val="single" w:sz="1" w:space="0" w:color="999999"/>
              <w:right w:val="single" w:sz="1" w:space="0" w:color="999999"/>
            </w:tcBorders>
          </w:tcPr>
          <w:p w:rsidR="00215377" w:rsidRDefault="00000000">
            <w:pPr>
              <w:jc w:val="center"/>
            </w:pPr>
            <w:r>
              <w:rPr>
                <w:sz w:val="22"/>
                <w:szCs w:val="22"/>
              </w:rPr>
              <w:t>≈ 29</w:t>
            </w:r>
          </w:p>
        </w:tc>
        <w:tc>
          <w:tcPr>
            <w:tcW w:w="2340" w:type="dxa"/>
            <w:tcBorders>
              <w:top w:val="single" w:sz="1" w:space="0" w:color="999999"/>
              <w:left w:val="single" w:sz="1" w:space="0" w:color="999999"/>
              <w:bottom w:val="single" w:sz="1" w:space="0" w:color="999999"/>
              <w:right w:val="single" w:sz="1" w:space="0" w:color="999999"/>
            </w:tcBorders>
            <w:shd w:val="clear" w:color="auto" w:fill="FFEBEE"/>
          </w:tcPr>
          <w:p w:rsidR="00215377" w:rsidRDefault="00000000">
            <w:pPr>
              <w:jc w:val="center"/>
            </w:pPr>
            <w:r>
              <w:rPr>
                <w:sz w:val="22"/>
                <w:szCs w:val="22"/>
              </w:rPr>
              <w:t>~45%</w:t>
            </w:r>
          </w:p>
        </w:tc>
      </w:tr>
    </w:tbl>
    <w:p w:rsidR="00215377" w:rsidRDefault="00000000">
      <w:pPr>
        <w:pStyle w:val="Titre2"/>
        <w:spacing w:before="360"/>
      </w:pPr>
      <w:r>
        <w:t>5.3 Interprétation préliminaire</w:t>
      </w:r>
    </w:p>
    <w:p w:rsidR="00215377" w:rsidRDefault="00000000">
      <w:r>
        <w:t xml:space="preserve">Si l'on accepte que </w:t>
      </w:r>
      <w:proofErr w:type="spellStart"/>
      <w:r>
        <w:t>τ_obs</w:t>
      </w:r>
      <w:proofErr w:type="spellEnd"/>
      <w:r>
        <w:t>/τ₀ ≈ 29 est un observable véritablement brut, alors la formule Gramets avec C(v) = 4 − 3(v/c) produit un écart significatif (45%) par rapport à l'observation.</w:t>
      </w:r>
    </w:p>
    <w:p w:rsidR="00215377" w:rsidRDefault="00000000">
      <w:pPr>
        <w:spacing w:before="120"/>
      </w:pPr>
      <w:r>
        <w:t>Cependant, cette conclusion doit être nuancée par les questions ouvertes de la section suivante.</w:t>
      </w:r>
    </w:p>
    <w:p w:rsidR="00215377" w:rsidRDefault="00000000">
      <w:pPr>
        <w:pStyle w:val="Titre1"/>
      </w:pPr>
      <w:r>
        <w:t>6. Questions ouvertes et points d'attention</w:t>
      </w:r>
    </w:p>
    <w:p w:rsidR="00215377" w:rsidRDefault="00000000">
      <w:pPr>
        <w:pStyle w:val="Titre2"/>
      </w:pPr>
      <w:r>
        <w:t xml:space="preserve">6.1 Sur la nature de l'observable </w:t>
      </w:r>
      <w:proofErr w:type="spellStart"/>
      <w:r>
        <w:t>τ_obs</w:t>
      </w:r>
      <w:proofErr w:type="spellEnd"/>
      <w:r>
        <w:t>/τ₀</w:t>
      </w:r>
    </w:p>
    <w:p w:rsidR="00215377" w:rsidRDefault="00000000">
      <w:r>
        <w:t xml:space="preserve">La question cruciale est : le rapport </w:t>
      </w:r>
      <w:proofErr w:type="spellStart"/>
      <w:r>
        <w:t>τ_obs</w:t>
      </w:r>
      <w:proofErr w:type="spellEnd"/>
      <w:r>
        <w:t>/τ₀ = 29 est-il vraiment un observable brut, ou des corrections dépendantes de la RR sont-elles appliquées ?</w:t>
      </w:r>
    </w:p>
    <w:p w:rsidR="00215377" w:rsidRDefault="00000000">
      <w:pPr>
        <w:pStyle w:val="Paragraphedeliste"/>
        <w:numPr>
          <w:ilvl w:val="0"/>
          <w:numId w:val="5"/>
        </w:numPr>
      </w:pPr>
      <w:r>
        <w:t>Comment τ₀ est-il déterminé ? (</w:t>
      </w:r>
      <w:proofErr w:type="gramStart"/>
      <w:r>
        <w:t>muons</w:t>
      </w:r>
      <w:proofErr w:type="gramEnd"/>
      <w:r>
        <w:t xml:space="preserve"> « au repos » dans quel référentiel ?)</w:t>
      </w:r>
    </w:p>
    <w:p w:rsidR="00215377" w:rsidRDefault="00000000">
      <w:pPr>
        <w:pStyle w:val="Paragraphedeliste"/>
        <w:numPr>
          <w:ilvl w:val="0"/>
          <w:numId w:val="5"/>
        </w:numPr>
      </w:pPr>
      <w:r>
        <w:t>Quelles corrections sont appliquées aux comptages de désintégration ?</w:t>
      </w:r>
    </w:p>
    <w:p w:rsidR="00215377" w:rsidRDefault="00000000">
      <w:pPr>
        <w:pStyle w:val="Paragraphedeliste"/>
        <w:numPr>
          <w:ilvl w:val="0"/>
          <w:numId w:val="5"/>
        </w:numPr>
      </w:pPr>
      <w:r>
        <w:t>La définition de « simultanéité » utilisée dépend-elle de la RR ?</w:t>
      </w:r>
    </w:p>
    <w:p w:rsidR="00215377" w:rsidRDefault="00000000">
      <w:pPr>
        <w:pStyle w:val="Titre2"/>
      </w:pPr>
      <w:r>
        <w:t>6.2 Sur la formule C(v) de Gramets</w:t>
      </w:r>
    </w:p>
    <w:p w:rsidR="00215377" w:rsidRDefault="00000000">
      <w:r>
        <w:t>La formule C(v) = 4 − 3(v/c) a été établie pour les régimes gravitationnels. Son extension aux très hautes vitesses cinématiques (v → c) soulève des questions :</w:t>
      </w:r>
    </w:p>
    <w:p w:rsidR="00215377" w:rsidRDefault="00000000">
      <w:pPr>
        <w:pStyle w:val="Paragraphedeliste"/>
        <w:numPr>
          <w:ilvl w:val="0"/>
          <w:numId w:val="2"/>
        </w:numPr>
      </w:pPr>
      <w:r>
        <w:t xml:space="preserve">Cette formule est-elle applicable au régime </w:t>
      </w:r>
      <w:proofErr w:type="spellStart"/>
      <w:r>
        <w:t>ultra-relativiste</w:t>
      </w:r>
      <w:proofErr w:type="spellEnd"/>
      <w:r>
        <w:t xml:space="preserve"> ?</w:t>
      </w:r>
    </w:p>
    <w:p w:rsidR="00215377" w:rsidRDefault="00000000">
      <w:pPr>
        <w:pStyle w:val="Paragraphedeliste"/>
        <w:numPr>
          <w:ilvl w:val="0"/>
          <w:numId w:val="2"/>
        </w:numPr>
      </w:pPr>
      <w:r>
        <w:t>Existe-t-il une transition de régime à v/c &gt; 0.9 ?</w:t>
      </w:r>
    </w:p>
    <w:p w:rsidR="00215377" w:rsidRDefault="00000000">
      <w:pPr>
        <w:pStyle w:val="Paragraphedeliste"/>
        <w:numPr>
          <w:ilvl w:val="0"/>
          <w:numId w:val="2"/>
        </w:numPr>
      </w:pPr>
      <w:r>
        <w:t>Une reformulation de C(v) pour les hautes vitesses est-elle nécessaire ?</w:t>
      </w:r>
    </w:p>
    <w:p w:rsidR="00215377" w:rsidRDefault="00000000">
      <w:pPr>
        <w:pStyle w:val="Titre2"/>
      </w:pPr>
      <w:r>
        <w:t>6.3 Risques de circularité</w:t>
      </w:r>
    </w:p>
    <w:p w:rsidR="00215377" w:rsidRDefault="00000000">
      <w:r>
        <w:t>Trois points d'attention méthodologique doivent être soulignés :</w:t>
      </w:r>
    </w:p>
    <w:p w:rsidR="00215377" w:rsidRDefault="00000000">
      <w:pPr>
        <w:pStyle w:val="Paragraphedeliste"/>
        <w:numPr>
          <w:ilvl w:val="0"/>
          <w:numId w:val="6"/>
        </w:numPr>
      </w:pPr>
      <w:r>
        <w:t>La vitesse v utilisée dans de nombreuses publications est souvent reconstruite dans le cadre de la RR, ce qui introduit un risque de circularité.</w:t>
      </w:r>
    </w:p>
    <w:p w:rsidR="00215377" w:rsidRDefault="00000000">
      <w:pPr>
        <w:pStyle w:val="Paragraphedeliste"/>
        <w:numPr>
          <w:ilvl w:val="0"/>
          <w:numId w:val="6"/>
        </w:numPr>
      </w:pPr>
      <w:r>
        <w:t xml:space="preserve">Les valeurs proches de c entraînent une sensibilité extrême : de très faibles variations de v conduisent à de grandes variations dans </w:t>
      </w:r>
      <w:proofErr w:type="spellStart"/>
      <w:r>
        <w:t>γ_G</w:t>
      </w:r>
      <w:proofErr w:type="spellEnd"/>
      <w:r>
        <w:t>.</w:t>
      </w:r>
    </w:p>
    <w:p w:rsidR="00215377" w:rsidRDefault="00000000">
      <w:pPr>
        <w:pStyle w:val="Paragraphedeliste"/>
        <w:numPr>
          <w:ilvl w:val="0"/>
          <w:numId w:val="6"/>
        </w:numPr>
      </w:pPr>
      <w:r>
        <w:t>Les corrections appliquées aux durées de vie mesurées doivent être examinées pour vérifier qu'elles ne supposent pas déjà la validité de la RR.</w:t>
      </w:r>
    </w:p>
    <w:p w:rsidR="00215377" w:rsidRDefault="00000000">
      <w:pPr>
        <w:pStyle w:val="Titre2"/>
      </w:pPr>
      <w:r>
        <w:t>6.4 Expériences alternatives</w:t>
      </w:r>
    </w:p>
    <w:p w:rsidR="00215377" w:rsidRDefault="00000000">
      <w:r>
        <w:t>D'autres observations pourraient fournir des tests discriminants :</w:t>
      </w:r>
    </w:p>
    <w:p w:rsidR="00215377" w:rsidRDefault="00000000">
      <w:pPr>
        <w:pStyle w:val="Paragraphedeliste"/>
        <w:numPr>
          <w:ilvl w:val="0"/>
          <w:numId w:val="2"/>
        </w:numPr>
      </w:pPr>
      <w:r>
        <w:t>Muons atmosphériques (vitesses variées, pas de circularité expérimentale)</w:t>
      </w:r>
    </w:p>
    <w:p w:rsidR="00215377" w:rsidRDefault="00000000">
      <w:pPr>
        <w:pStyle w:val="Paragraphedeliste"/>
        <w:numPr>
          <w:ilvl w:val="0"/>
          <w:numId w:val="2"/>
        </w:numPr>
      </w:pPr>
      <w:r>
        <w:t xml:space="preserve">Expérience </w:t>
      </w:r>
      <w:proofErr w:type="spellStart"/>
      <w:r>
        <w:t>Hafele</w:t>
      </w:r>
      <w:proofErr w:type="spellEnd"/>
      <w:r>
        <w:t>-Keating (vitesses faibles, données brutes disponibles)</w:t>
      </w:r>
    </w:p>
    <w:p w:rsidR="00215377" w:rsidRDefault="00000000">
      <w:pPr>
        <w:pStyle w:val="Paragraphedeliste"/>
        <w:numPr>
          <w:ilvl w:val="0"/>
          <w:numId w:val="2"/>
        </w:numPr>
      </w:pPr>
      <w:r>
        <w:t>GPS (comparaison précise RR vs Gramets déjà favorable à Gramets)</w:t>
      </w:r>
    </w:p>
    <w:p w:rsidR="00215377" w:rsidRDefault="00000000">
      <w:pPr>
        <w:pStyle w:val="Titre1"/>
      </w:pPr>
      <w:r>
        <w:t>7. Conclusion</w:t>
      </w:r>
    </w:p>
    <w:p w:rsidR="00215377" w:rsidRDefault="00000000">
      <w:r>
        <w:t>Cette analyse méthodologique établit que :</w:t>
      </w:r>
    </w:p>
    <w:p w:rsidR="00215377" w:rsidRDefault="00000000">
      <w:pPr>
        <w:pStyle w:val="Paragraphedeliste"/>
        <w:numPr>
          <w:ilvl w:val="0"/>
          <w:numId w:val="7"/>
        </w:numPr>
        <w:spacing w:before="120"/>
      </w:pPr>
      <w:r>
        <w:rPr>
          <w:b/>
          <w:bCs/>
        </w:rPr>
        <w:lastRenderedPageBreak/>
        <w:t xml:space="preserve">Les expériences CERN ne réfutent pas Gramets </w:t>
      </w:r>
      <w:r>
        <w:t>— elles démontrent la cohérence interne de la RR, ce qui n'était pas en question.</w:t>
      </w:r>
    </w:p>
    <w:p w:rsidR="00215377" w:rsidRDefault="00000000">
      <w:pPr>
        <w:pStyle w:val="Paragraphedeliste"/>
        <w:numPr>
          <w:ilvl w:val="0"/>
          <w:numId w:val="7"/>
        </w:numPr>
      </w:pPr>
      <w:r>
        <w:rPr>
          <w:b/>
          <w:bCs/>
        </w:rPr>
        <w:t xml:space="preserve">Un test équitable requiert une séparation rigoureuse </w:t>
      </w:r>
      <w:r>
        <w:t>entre observables bruts (Classe A) et grandeurs dérivées (Classe B).</w:t>
      </w:r>
    </w:p>
    <w:p w:rsidR="00215377" w:rsidRDefault="00000000">
      <w:pPr>
        <w:pStyle w:val="Paragraphedeliste"/>
        <w:numPr>
          <w:ilvl w:val="0"/>
          <w:numId w:val="7"/>
        </w:numPr>
      </w:pPr>
      <w:r>
        <w:rPr>
          <w:b/>
          <w:bCs/>
        </w:rPr>
        <w:t xml:space="preserve">Des questions ouvertes subsistent </w:t>
      </w:r>
      <w:r>
        <w:t xml:space="preserve">sur la nature exacte des observables CERN et sur l'applicabilité de C(v) au régime </w:t>
      </w:r>
      <w:proofErr w:type="spellStart"/>
      <w:r>
        <w:t>ultra-relativiste</w:t>
      </w:r>
      <w:proofErr w:type="spellEnd"/>
      <w:r>
        <w:t>.</w:t>
      </w:r>
    </w:p>
    <w:p w:rsidR="00215377" w:rsidRDefault="00000000">
      <w:pPr>
        <w:pStyle w:val="Paragraphedeliste"/>
        <w:numPr>
          <w:ilvl w:val="0"/>
          <w:numId w:val="7"/>
        </w:numPr>
      </w:pPr>
      <w:r>
        <w:rPr>
          <w:b/>
          <w:bCs/>
        </w:rPr>
        <w:t xml:space="preserve">D'autres expériences </w:t>
      </w:r>
      <w:r>
        <w:t xml:space="preserve">(GPS, </w:t>
      </w:r>
      <w:proofErr w:type="spellStart"/>
      <w:r>
        <w:t>Hafele</w:t>
      </w:r>
      <w:proofErr w:type="spellEnd"/>
      <w:r>
        <w:t>-Keating, muons atmosphériques) pourraient fournir des tests plus discriminants.</w:t>
      </w:r>
    </w:p>
    <w:p w:rsidR="00215377" w:rsidRDefault="00000000">
      <w:pPr>
        <w:spacing w:before="200"/>
      </w:pPr>
      <w:r>
        <w:t>La Charte d'Hygiène Scientifique ne tranche pas entre RR et Gramets. Elle établit les conditions méthodologiques nécessaires pour qu'un tel verdict puisse être rendu de manière scientifiquement rigoureuse.</w:t>
      </w:r>
    </w:p>
    <w:p w:rsidR="00215377" w:rsidRDefault="00000000">
      <w:r>
        <w:br w:type="page"/>
      </w:r>
    </w:p>
    <w:p w:rsidR="00215377" w:rsidRDefault="00000000">
      <w:pPr>
        <w:pStyle w:val="Titre1"/>
      </w:pPr>
      <w:r>
        <w:lastRenderedPageBreak/>
        <w:t>Annexe A : Récapitulatif des classifications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27"/>
        <w:gridCol w:w="2419"/>
        <w:gridCol w:w="2400"/>
        <w:gridCol w:w="2474"/>
      </w:tblGrid>
      <w:tr w:rsidR="00215377">
        <w:tblPrEx>
          <w:tblCellMar>
            <w:top w:w="0" w:type="dxa"/>
            <w:bottom w:w="0" w:type="dxa"/>
          </w:tblCellMar>
        </w:tblPrEx>
        <w:trPr>
          <w:tblHeader/>
        </w:trPr>
        <w:tc>
          <w:tcPr>
            <w:tcW w:w="18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Classe</w:t>
            </w:r>
          </w:p>
        </w:tc>
        <w:tc>
          <w:tcPr>
            <w:tcW w:w="25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Type</w:t>
            </w:r>
          </w:p>
        </w:tc>
        <w:tc>
          <w:tcPr>
            <w:tcW w:w="250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Exemples</w:t>
            </w:r>
          </w:p>
        </w:tc>
        <w:tc>
          <w:tcPr>
            <w:tcW w:w="2560" w:type="dxa"/>
            <w:tcBorders>
              <w:top w:val="single" w:sz="2" w:space="0" w:color="333333"/>
              <w:left w:val="single" w:sz="2" w:space="0" w:color="333333"/>
              <w:bottom w:val="single" w:sz="2" w:space="0" w:color="333333"/>
              <w:right w:val="single" w:sz="2" w:space="0" w:color="333333"/>
            </w:tcBorders>
            <w:shd w:val="clear" w:color="auto" w:fill="E8E8E8"/>
          </w:tcPr>
          <w:p w:rsidR="00215377" w:rsidRDefault="00000000">
            <w:pPr>
              <w:jc w:val="center"/>
            </w:pPr>
            <w:r>
              <w:rPr>
                <w:b/>
                <w:bCs/>
                <w:sz w:val="22"/>
                <w:szCs w:val="22"/>
              </w:rPr>
              <w:t>Statut épistémique</w:t>
            </w:r>
          </w:p>
        </w:tc>
      </w:tr>
      <w:tr w:rsidR="002153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E8F5E9"/>
          </w:tcPr>
          <w:p w:rsidR="00215377" w:rsidRDefault="00000000">
            <w:pPr>
              <w:jc w:val="center"/>
            </w:pPr>
            <w:r>
              <w:rPr>
                <w:b/>
                <w:bCs/>
                <w:sz w:val="22"/>
                <w:szCs w:val="22"/>
              </w:rPr>
              <w:t>A</w:t>
            </w:r>
          </w:p>
        </w:tc>
        <w:tc>
          <w:tcPr>
            <w:tcW w:w="2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Observable brut</w:t>
            </w:r>
          </w:p>
        </w:tc>
        <w:tc>
          <w:tcPr>
            <w:tcW w:w="2500" w:type="dxa"/>
            <w:tcBorders>
              <w:top w:val="single" w:sz="1" w:space="0" w:color="999999"/>
              <w:left w:val="single" w:sz="1" w:space="0" w:color="999999"/>
              <w:bottom w:val="single" w:sz="1" w:space="0" w:color="999999"/>
              <w:right w:val="single" w:sz="1" w:space="0" w:color="999999"/>
            </w:tcBorders>
          </w:tcPr>
          <w:p w:rsidR="00215377" w:rsidRDefault="00000000">
            <w:proofErr w:type="gramStart"/>
            <w:r>
              <w:rPr>
                <w:sz w:val="22"/>
                <w:szCs w:val="22"/>
              </w:rPr>
              <w:t>r</w:t>
            </w:r>
            <w:proofErr w:type="gramEnd"/>
            <w:r>
              <w:rPr>
                <w:sz w:val="22"/>
                <w:szCs w:val="22"/>
              </w:rPr>
              <w:t xml:space="preserve">, T, </w:t>
            </w:r>
            <w:proofErr w:type="spellStart"/>
            <w:r>
              <w:rPr>
                <w:sz w:val="22"/>
                <w:szCs w:val="22"/>
              </w:rPr>
              <w:t>τ_obs</w:t>
            </w:r>
            <w:proofErr w:type="spellEnd"/>
            <w:r>
              <w:rPr>
                <w:sz w:val="22"/>
                <w:szCs w:val="22"/>
              </w:rPr>
              <w:t>, N(t)</w:t>
            </w:r>
          </w:p>
        </w:tc>
        <w:tc>
          <w:tcPr>
            <w:tcW w:w="25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Indépendant de la théorie</w:t>
            </w:r>
          </w:p>
        </w:tc>
      </w:tr>
      <w:tr w:rsidR="002153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3E0"/>
          </w:tcPr>
          <w:p w:rsidR="00215377" w:rsidRDefault="00000000">
            <w:pPr>
              <w:jc w:val="center"/>
            </w:pPr>
            <w:r>
              <w:rPr>
                <w:b/>
                <w:bCs/>
                <w:sz w:val="22"/>
                <w:szCs w:val="22"/>
              </w:rPr>
              <w:t>B</w:t>
            </w:r>
          </w:p>
        </w:tc>
        <w:tc>
          <w:tcPr>
            <w:tcW w:w="2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Grandeur dérivée</w:t>
            </w:r>
          </w:p>
        </w:tc>
        <w:tc>
          <w:tcPr>
            <w:tcW w:w="2500" w:type="dxa"/>
            <w:tcBorders>
              <w:top w:val="single" w:sz="1" w:space="0" w:color="999999"/>
              <w:left w:val="single" w:sz="1" w:space="0" w:color="999999"/>
              <w:bottom w:val="single" w:sz="1" w:space="0" w:color="999999"/>
              <w:right w:val="single" w:sz="1" w:space="0" w:color="999999"/>
            </w:tcBorders>
          </w:tcPr>
          <w:p w:rsidR="00215377" w:rsidRDefault="00000000">
            <w:proofErr w:type="gramStart"/>
            <w:r>
              <w:rPr>
                <w:sz w:val="22"/>
                <w:szCs w:val="22"/>
              </w:rPr>
              <w:t>v</w:t>
            </w:r>
            <w:proofErr w:type="gramEnd"/>
            <w:r>
              <w:rPr>
                <w:sz w:val="22"/>
                <w:szCs w:val="22"/>
              </w:rPr>
              <w:t>, γ, E</w:t>
            </w:r>
          </w:p>
        </w:tc>
        <w:tc>
          <w:tcPr>
            <w:tcW w:w="25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Dépend d'un modèle</w:t>
            </w:r>
          </w:p>
        </w:tc>
      </w:tr>
      <w:tr w:rsidR="002153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E3F2FD"/>
          </w:tcPr>
          <w:p w:rsidR="00215377" w:rsidRDefault="00000000">
            <w:pPr>
              <w:jc w:val="center"/>
            </w:pPr>
            <w:r>
              <w:rPr>
                <w:b/>
                <w:bCs/>
                <w:sz w:val="22"/>
                <w:szCs w:val="22"/>
              </w:rPr>
              <w:t>C</w:t>
            </w:r>
          </w:p>
        </w:tc>
        <w:tc>
          <w:tcPr>
            <w:tcW w:w="2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Interprétation</w:t>
            </w:r>
          </w:p>
        </w:tc>
        <w:tc>
          <w:tcPr>
            <w:tcW w:w="250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 RR confirmée »</w:t>
            </w:r>
          </w:p>
        </w:tc>
        <w:tc>
          <w:tcPr>
            <w:tcW w:w="2560" w:type="dxa"/>
            <w:tcBorders>
              <w:top w:val="single" w:sz="1" w:space="0" w:color="999999"/>
              <w:left w:val="single" w:sz="1" w:space="0" w:color="999999"/>
              <w:bottom w:val="single" w:sz="1" w:space="0" w:color="999999"/>
              <w:right w:val="single" w:sz="1" w:space="0" w:color="999999"/>
            </w:tcBorders>
          </w:tcPr>
          <w:p w:rsidR="00215377" w:rsidRDefault="00000000">
            <w:r>
              <w:rPr>
                <w:sz w:val="22"/>
                <w:szCs w:val="22"/>
              </w:rPr>
              <w:t>Conclusion théorique</w:t>
            </w:r>
          </w:p>
        </w:tc>
      </w:tr>
    </w:tbl>
    <w:p w:rsidR="00215377" w:rsidRDefault="00000000">
      <w:pPr>
        <w:pStyle w:val="Titre1"/>
        <w:spacing w:before="480"/>
      </w:pPr>
      <w:r>
        <w:t>Annexe B : Formules de référence</w:t>
      </w:r>
    </w:p>
    <w:p w:rsidR="00215377" w:rsidRDefault="00000000">
      <w:pPr>
        <w:pStyle w:val="Titre2"/>
      </w:pPr>
      <w:r>
        <w:t>B.1 Relativité Restreinte</w:t>
      </w:r>
    </w:p>
    <w:p w:rsidR="00215377" w:rsidRDefault="00000000">
      <w:pPr>
        <w:spacing w:before="80" w:after="80"/>
        <w:jc w:val="center"/>
      </w:pPr>
      <w:proofErr w:type="spellStart"/>
      <w:proofErr w:type="gramStart"/>
      <w:r>
        <w:t>γ</w:t>
      </w:r>
      <w:proofErr w:type="gramEnd"/>
      <w:r>
        <w:t>_RR</w:t>
      </w:r>
      <w:proofErr w:type="spellEnd"/>
      <w:r>
        <w:t xml:space="preserve"> = 1 / </w:t>
      </w:r>
      <w:proofErr w:type="gramStart"/>
      <w:r>
        <w:t>√(</w:t>
      </w:r>
      <w:proofErr w:type="gramEnd"/>
      <w:r>
        <w:t>1 − v²/c²)</w:t>
      </w:r>
    </w:p>
    <w:p w:rsidR="00215377" w:rsidRDefault="00000000">
      <w:pPr>
        <w:spacing w:after="160"/>
        <w:jc w:val="center"/>
      </w:pPr>
      <w:proofErr w:type="spellStart"/>
      <w:proofErr w:type="gramStart"/>
      <w:r>
        <w:t>τ</w:t>
      </w:r>
      <w:proofErr w:type="gramEnd"/>
      <w:r>
        <w:t>_RR</w:t>
      </w:r>
      <w:proofErr w:type="spellEnd"/>
      <w:r>
        <w:t xml:space="preserve"> = </w:t>
      </w:r>
      <w:proofErr w:type="spellStart"/>
      <w:r>
        <w:t>γ_RR</w:t>
      </w:r>
      <w:proofErr w:type="spellEnd"/>
      <w:r>
        <w:t xml:space="preserve"> × τ₀</w:t>
      </w:r>
    </w:p>
    <w:p w:rsidR="00215377" w:rsidRDefault="00000000">
      <w:pPr>
        <w:pStyle w:val="Titre2"/>
      </w:pPr>
      <w:r>
        <w:t>B.2 Théorie Gramets (version cinématique)</w:t>
      </w:r>
    </w:p>
    <w:p w:rsidR="00215377" w:rsidRDefault="00000000">
      <w:pPr>
        <w:spacing w:before="80" w:after="80"/>
        <w:jc w:val="center"/>
      </w:pPr>
      <w:proofErr w:type="spellStart"/>
      <w:r>
        <w:t>Δt_c</w:t>
      </w:r>
      <w:proofErr w:type="spellEnd"/>
      <w:r>
        <w:t xml:space="preserve">(v) = v² / (c² × </w:t>
      </w:r>
      <w:proofErr w:type="gramStart"/>
      <w:r>
        <w:t>√(</w:t>
      </w:r>
      <w:proofErr w:type="gramEnd"/>
      <w:r>
        <w:t>4 − 3(v/c)))</w:t>
      </w:r>
    </w:p>
    <w:p w:rsidR="00215377" w:rsidRDefault="00000000">
      <w:pPr>
        <w:spacing w:after="80"/>
        <w:jc w:val="center"/>
      </w:pPr>
      <w:proofErr w:type="spellStart"/>
      <w:proofErr w:type="gramStart"/>
      <w:r>
        <w:t>γ</w:t>
      </w:r>
      <w:proofErr w:type="gramEnd"/>
      <w:r>
        <w:t>_G</w:t>
      </w:r>
      <w:proofErr w:type="spellEnd"/>
      <w:r>
        <w:t xml:space="preserve"> = 1 / (1 − </w:t>
      </w:r>
      <w:proofErr w:type="spellStart"/>
      <w:r>
        <w:t>Δt_c</w:t>
      </w:r>
      <w:proofErr w:type="spellEnd"/>
      <w:r>
        <w:t>)</w:t>
      </w:r>
    </w:p>
    <w:p w:rsidR="00215377" w:rsidRDefault="00000000">
      <w:pPr>
        <w:spacing w:after="160"/>
        <w:jc w:val="center"/>
      </w:pPr>
      <w:proofErr w:type="spellStart"/>
      <w:proofErr w:type="gramStart"/>
      <w:r>
        <w:t>τ</w:t>
      </w:r>
      <w:proofErr w:type="gramEnd"/>
      <w:r>
        <w:t>_G</w:t>
      </w:r>
      <w:proofErr w:type="spellEnd"/>
      <w:r>
        <w:t xml:space="preserve"> = </w:t>
      </w:r>
      <w:proofErr w:type="spellStart"/>
      <w:r>
        <w:t>γ_G</w:t>
      </w:r>
      <w:proofErr w:type="spellEnd"/>
      <w:r>
        <w:t xml:space="preserve"> × τ₀</w:t>
      </w:r>
    </w:p>
    <w:p w:rsidR="00215377" w:rsidRDefault="00000000">
      <w:pPr>
        <w:pStyle w:val="Titre2"/>
      </w:pPr>
      <w:r>
        <w:t>B.3 Vitesse (commune aux deux théories)</w:t>
      </w:r>
    </w:p>
    <w:p w:rsidR="00215377" w:rsidRDefault="00000000">
      <w:pPr>
        <w:spacing w:before="80" w:after="160"/>
        <w:jc w:val="center"/>
      </w:pPr>
      <w:proofErr w:type="gramStart"/>
      <w:r>
        <w:t>v</w:t>
      </w:r>
      <w:proofErr w:type="gramEnd"/>
      <w:r>
        <w:t xml:space="preserve"> = 2πr / T</w:t>
      </w:r>
    </w:p>
    <w:p w:rsidR="00215377" w:rsidRDefault="00000000">
      <w:pPr>
        <w:pStyle w:val="Titre1"/>
        <w:spacing w:before="480"/>
      </w:pPr>
      <w:r>
        <w:t>Référence</w:t>
      </w:r>
    </w:p>
    <w:p w:rsidR="00215377" w:rsidRDefault="00000000">
      <w:r>
        <w:t xml:space="preserve">Bailey, J., et al. (1977). « </w:t>
      </w:r>
      <w:proofErr w:type="spellStart"/>
      <w:r>
        <w:t>Measurements</w:t>
      </w:r>
      <w:proofErr w:type="spellEnd"/>
      <w:r>
        <w:t xml:space="preserve"> of </w:t>
      </w:r>
      <w:proofErr w:type="spellStart"/>
      <w:r>
        <w:t>relativistic</w:t>
      </w:r>
      <w:proofErr w:type="spellEnd"/>
      <w:r>
        <w:t xml:space="preserve"> time dilatation for positive and </w:t>
      </w:r>
      <w:proofErr w:type="spellStart"/>
      <w:r>
        <w:t>negative</w:t>
      </w:r>
      <w:proofErr w:type="spellEnd"/>
      <w:r>
        <w:t xml:space="preserve"> muons in a </w:t>
      </w:r>
      <w:proofErr w:type="spellStart"/>
      <w:r>
        <w:t>circular</w:t>
      </w:r>
      <w:proofErr w:type="spellEnd"/>
      <w:r>
        <w:t xml:space="preserve"> </w:t>
      </w:r>
      <w:proofErr w:type="spellStart"/>
      <w:r>
        <w:t>orbit</w:t>
      </w:r>
      <w:proofErr w:type="spellEnd"/>
      <w:r>
        <w:t xml:space="preserve"> ». </w:t>
      </w:r>
      <w:r>
        <w:rPr>
          <w:i/>
          <w:iCs/>
        </w:rPr>
        <w:t>Nature</w:t>
      </w:r>
      <w:r>
        <w:t>, 268, 301–305.</w:t>
      </w:r>
    </w:p>
    <w:sectPr w:rsidR="00215377">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866" w:rsidRDefault="00460866">
      <w:r>
        <w:separator/>
      </w:r>
    </w:p>
  </w:endnote>
  <w:endnote w:type="continuationSeparator" w:id="0">
    <w:p w:rsidR="00460866" w:rsidRDefault="0046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377" w:rsidRDefault="0000000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DD7ECE">
      <w:rPr>
        <w:noProof/>
        <w:sz w:val="20"/>
        <w:szCs w:val="20"/>
      </w:rPr>
      <w:t>1</w:t>
    </w:r>
    <w:r>
      <w:rPr>
        <w:sz w:val="20"/>
        <w:szCs w:val="20"/>
      </w:rPr>
      <w:fldChar w:fldCharType="end"/>
    </w:r>
    <w:r>
      <w:rPr>
        <w:sz w:val="20"/>
        <w:szCs w:val="20"/>
      </w:rPr>
      <w:t xml:space="preserve"> sur </w:t>
    </w:r>
    <w:r>
      <w:rPr>
        <w:sz w:val="20"/>
        <w:szCs w:val="20"/>
      </w:rPr>
      <w:fldChar w:fldCharType="begin"/>
    </w:r>
    <w:r>
      <w:rPr>
        <w:sz w:val="20"/>
        <w:szCs w:val="20"/>
      </w:rPr>
      <w:instrText>NUMPAGES</w:instrText>
    </w:r>
    <w:r>
      <w:rPr>
        <w:sz w:val="20"/>
        <w:szCs w:val="20"/>
      </w:rPr>
      <w:fldChar w:fldCharType="separate"/>
    </w:r>
    <w:r w:rsidR="00DD7ECE">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866" w:rsidRDefault="00460866">
      <w:r>
        <w:separator/>
      </w:r>
    </w:p>
  </w:footnote>
  <w:footnote w:type="continuationSeparator" w:id="0">
    <w:p w:rsidR="00460866" w:rsidRDefault="0046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377" w:rsidRDefault="00000000">
    <w:pPr>
      <w:jc w:val="right"/>
    </w:pPr>
    <w:r>
      <w:rPr>
        <w:i/>
        <w:iCs/>
        <w:color w:val="666666"/>
        <w:sz w:val="20"/>
        <w:szCs w:val="20"/>
      </w:rPr>
      <w:t>Charte d'Hygiène Scientifique — Muons CERN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EBB"/>
    <w:multiLevelType w:val="hybridMultilevel"/>
    <w:tmpl w:val="2A0C91BA"/>
    <w:lvl w:ilvl="0" w:tplc="16BA570C">
      <w:start w:val="1"/>
      <w:numFmt w:val="decimal"/>
      <w:lvlText w:val="%1."/>
      <w:lvlJc w:val="left"/>
      <w:pPr>
        <w:ind w:left="720" w:hanging="360"/>
      </w:pPr>
    </w:lvl>
    <w:lvl w:ilvl="1" w:tplc="E94C8588">
      <w:numFmt w:val="decimal"/>
      <w:lvlText w:val=""/>
      <w:lvlJc w:val="left"/>
    </w:lvl>
    <w:lvl w:ilvl="2" w:tplc="548857C4">
      <w:numFmt w:val="decimal"/>
      <w:lvlText w:val=""/>
      <w:lvlJc w:val="left"/>
    </w:lvl>
    <w:lvl w:ilvl="3" w:tplc="8A10006A">
      <w:numFmt w:val="decimal"/>
      <w:lvlText w:val=""/>
      <w:lvlJc w:val="left"/>
    </w:lvl>
    <w:lvl w:ilvl="4" w:tplc="24A2A798">
      <w:numFmt w:val="decimal"/>
      <w:lvlText w:val=""/>
      <w:lvlJc w:val="left"/>
    </w:lvl>
    <w:lvl w:ilvl="5" w:tplc="1EFAB4B2">
      <w:numFmt w:val="decimal"/>
      <w:lvlText w:val=""/>
      <w:lvlJc w:val="left"/>
    </w:lvl>
    <w:lvl w:ilvl="6" w:tplc="A42A64AE">
      <w:numFmt w:val="decimal"/>
      <w:lvlText w:val=""/>
      <w:lvlJc w:val="left"/>
    </w:lvl>
    <w:lvl w:ilvl="7" w:tplc="F7CA99FC">
      <w:numFmt w:val="decimal"/>
      <w:lvlText w:val=""/>
      <w:lvlJc w:val="left"/>
    </w:lvl>
    <w:lvl w:ilvl="8" w:tplc="DB304C12">
      <w:numFmt w:val="decimal"/>
      <w:lvlText w:val=""/>
      <w:lvlJc w:val="left"/>
    </w:lvl>
  </w:abstractNum>
  <w:abstractNum w:abstractNumId="1" w15:restartNumberingAfterBreak="0">
    <w:nsid w:val="2CEE6030"/>
    <w:multiLevelType w:val="hybridMultilevel"/>
    <w:tmpl w:val="DCC40A02"/>
    <w:lvl w:ilvl="0" w:tplc="35E87F84">
      <w:start w:val="1"/>
      <w:numFmt w:val="bullet"/>
      <w:lvlText w:val="•"/>
      <w:lvlJc w:val="left"/>
      <w:pPr>
        <w:ind w:left="720" w:hanging="360"/>
      </w:pPr>
    </w:lvl>
    <w:lvl w:ilvl="1" w:tplc="71F08802">
      <w:numFmt w:val="decimal"/>
      <w:lvlText w:val=""/>
      <w:lvlJc w:val="left"/>
    </w:lvl>
    <w:lvl w:ilvl="2" w:tplc="551434C4">
      <w:numFmt w:val="decimal"/>
      <w:lvlText w:val=""/>
      <w:lvlJc w:val="left"/>
    </w:lvl>
    <w:lvl w:ilvl="3" w:tplc="BDC83F4A">
      <w:numFmt w:val="decimal"/>
      <w:lvlText w:val=""/>
      <w:lvlJc w:val="left"/>
    </w:lvl>
    <w:lvl w:ilvl="4" w:tplc="8AE260A2">
      <w:numFmt w:val="decimal"/>
      <w:lvlText w:val=""/>
      <w:lvlJc w:val="left"/>
    </w:lvl>
    <w:lvl w:ilvl="5" w:tplc="92DEDC8A">
      <w:numFmt w:val="decimal"/>
      <w:lvlText w:val=""/>
      <w:lvlJc w:val="left"/>
    </w:lvl>
    <w:lvl w:ilvl="6" w:tplc="33860AEE">
      <w:numFmt w:val="decimal"/>
      <w:lvlText w:val=""/>
      <w:lvlJc w:val="left"/>
    </w:lvl>
    <w:lvl w:ilvl="7" w:tplc="8E4EB198">
      <w:numFmt w:val="decimal"/>
      <w:lvlText w:val=""/>
      <w:lvlJc w:val="left"/>
    </w:lvl>
    <w:lvl w:ilvl="8" w:tplc="8D242F48">
      <w:numFmt w:val="decimal"/>
      <w:lvlText w:val=""/>
      <w:lvlJc w:val="left"/>
    </w:lvl>
  </w:abstractNum>
  <w:abstractNum w:abstractNumId="2" w15:restartNumberingAfterBreak="0">
    <w:nsid w:val="2FD00A02"/>
    <w:multiLevelType w:val="hybridMultilevel"/>
    <w:tmpl w:val="2ECA62E6"/>
    <w:lvl w:ilvl="0" w:tplc="ABE28E52">
      <w:start w:val="1"/>
      <w:numFmt w:val="decimal"/>
      <w:lvlText w:val="%1."/>
      <w:lvlJc w:val="left"/>
      <w:pPr>
        <w:ind w:left="720" w:hanging="360"/>
      </w:pPr>
    </w:lvl>
    <w:lvl w:ilvl="1" w:tplc="6DAA8A72">
      <w:numFmt w:val="decimal"/>
      <w:lvlText w:val=""/>
      <w:lvlJc w:val="left"/>
    </w:lvl>
    <w:lvl w:ilvl="2" w:tplc="A39AC746">
      <w:numFmt w:val="decimal"/>
      <w:lvlText w:val=""/>
      <w:lvlJc w:val="left"/>
    </w:lvl>
    <w:lvl w:ilvl="3" w:tplc="3F2872B4">
      <w:numFmt w:val="decimal"/>
      <w:lvlText w:val=""/>
      <w:lvlJc w:val="left"/>
    </w:lvl>
    <w:lvl w:ilvl="4" w:tplc="D37A7C30">
      <w:numFmt w:val="decimal"/>
      <w:lvlText w:val=""/>
      <w:lvlJc w:val="left"/>
    </w:lvl>
    <w:lvl w:ilvl="5" w:tplc="A9244D20">
      <w:numFmt w:val="decimal"/>
      <w:lvlText w:val=""/>
      <w:lvlJc w:val="left"/>
    </w:lvl>
    <w:lvl w:ilvl="6" w:tplc="43D6E324">
      <w:numFmt w:val="decimal"/>
      <w:lvlText w:val=""/>
      <w:lvlJc w:val="left"/>
    </w:lvl>
    <w:lvl w:ilvl="7" w:tplc="6596B4DC">
      <w:numFmt w:val="decimal"/>
      <w:lvlText w:val=""/>
      <w:lvlJc w:val="left"/>
    </w:lvl>
    <w:lvl w:ilvl="8" w:tplc="0FC8D1C2">
      <w:numFmt w:val="decimal"/>
      <w:lvlText w:val=""/>
      <w:lvlJc w:val="left"/>
    </w:lvl>
  </w:abstractNum>
  <w:abstractNum w:abstractNumId="3" w15:restartNumberingAfterBreak="0">
    <w:nsid w:val="532F04F4"/>
    <w:multiLevelType w:val="hybridMultilevel"/>
    <w:tmpl w:val="89F855E6"/>
    <w:lvl w:ilvl="0" w:tplc="E9F0251C">
      <w:start w:val="1"/>
      <w:numFmt w:val="bullet"/>
      <w:lvlText w:val="•"/>
      <w:lvlJc w:val="left"/>
      <w:pPr>
        <w:ind w:left="720" w:hanging="360"/>
      </w:pPr>
    </w:lvl>
    <w:lvl w:ilvl="1" w:tplc="108C11BC">
      <w:numFmt w:val="decimal"/>
      <w:lvlText w:val=""/>
      <w:lvlJc w:val="left"/>
    </w:lvl>
    <w:lvl w:ilvl="2" w:tplc="CE32DFAA">
      <w:numFmt w:val="decimal"/>
      <w:lvlText w:val=""/>
      <w:lvlJc w:val="left"/>
    </w:lvl>
    <w:lvl w:ilvl="3" w:tplc="F73C6940">
      <w:numFmt w:val="decimal"/>
      <w:lvlText w:val=""/>
      <w:lvlJc w:val="left"/>
    </w:lvl>
    <w:lvl w:ilvl="4" w:tplc="14DA73E0">
      <w:numFmt w:val="decimal"/>
      <w:lvlText w:val=""/>
      <w:lvlJc w:val="left"/>
    </w:lvl>
    <w:lvl w:ilvl="5" w:tplc="F606E1A8">
      <w:numFmt w:val="decimal"/>
      <w:lvlText w:val=""/>
      <w:lvlJc w:val="left"/>
    </w:lvl>
    <w:lvl w:ilvl="6" w:tplc="7BD647C4">
      <w:numFmt w:val="decimal"/>
      <w:lvlText w:val=""/>
      <w:lvlJc w:val="left"/>
    </w:lvl>
    <w:lvl w:ilvl="7" w:tplc="B198B79C">
      <w:numFmt w:val="decimal"/>
      <w:lvlText w:val=""/>
      <w:lvlJc w:val="left"/>
    </w:lvl>
    <w:lvl w:ilvl="8" w:tplc="755A6786">
      <w:numFmt w:val="decimal"/>
      <w:lvlText w:val=""/>
      <w:lvlJc w:val="left"/>
    </w:lvl>
  </w:abstractNum>
  <w:abstractNum w:abstractNumId="4" w15:restartNumberingAfterBreak="0">
    <w:nsid w:val="56CC0A1B"/>
    <w:multiLevelType w:val="hybridMultilevel"/>
    <w:tmpl w:val="E3D4CCB2"/>
    <w:lvl w:ilvl="0" w:tplc="84343BB2">
      <w:start w:val="1"/>
      <w:numFmt w:val="decimal"/>
      <w:lvlText w:val="%1."/>
      <w:lvlJc w:val="left"/>
      <w:pPr>
        <w:ind w:left="720" w:hanging="360"/>
      </w:pPr>
    </w:lvl>
    <w:lvl w:ilvl="1" w:tplc="A030E4D2">
      <w:numFmt w:val="decimal"/>
      <w:lvlText w:val=""/>
      <w:lvlJc w:val="left"/>
    </w:lvl>
    <w:lvl w:ilvl="2" w:tplc="069AA858">
      <w:numFmt w:val="decimal"/>
      <w:lvlText w:val=""/>
      <w:lvlJc w:val="left"/>
    </w:lvl>
    <w:lvl w:ilvl="3" w:tplc="BB645C88">
      <w:numFmt w:val="decimal"/>
      <w:lvlText w:val=""/>
      <w:lvlJc w:val="left"/>
    </w:lvl>
    <w:lvl w:ilvl="4" w:tplc="429CB082">
      <w:numFmt w:val="decimal"/>
      <w:lvlText w:val=""/>
      <w:lvlJc w:val="left"/>
    </w:lvl>
    <w:lvl w:ilvl="5" w:tplc="17124B04">
      <w:numFmt w:val="decimal"/>
      <w:lvlText w:val=""/>
      <w:lvlJc w:val="left"/>
    </w:lvl>
    <w:lvl w:ilvl="6" w:tplc="6C42A5E2">
      <w:numFmt w:val="decimal"/>
      <w:lvlText w:val=""/>
      <w:lvlJc w:val="left"/>
    </w:lvl>
    <w:lvl w:ilvl="7" w:tplc="638A2D96">
      <w:numFmt w:val="decimal"/>
      <w:lvlText w:val=""/>
      <w:lvlJc w:val="left"/>
    </w:lvl>
    <w:lvl w:ilvl="8" w:tplc="5F4450E8">
      <w:numFmt w:val="decimal"/>
      <w:lvlText w:val=""/>
      <w:lvlJc w:val="left"/>
    </w:lvl>
  </w:abstractNum>
  <w:abstractNum w:abstractNumId="5" w15:restartNumberingAfterBreak="0">
    <w:nsid w:val="5BDF4B05"/>
    <w:multiLevelType w:val="hybridMultilevel"/>
    <w:tmpl w:val="AB660774"/>
    <w:lvl w:ilvl="0" w:tplc="6A1E57E0">
      <w:start w:val="1"/>
      <w:numFmt w:val="decimal"/>
      <w:lvlText w:val="%1."/>
      <w:lvlJc w:val="left"/>
      <w:pPr>
        <w:ind w:left="720" w:hanging="360"/>
      </w:pPr>
    </w:lvl>
    <w:lvl w:ilvl="1" w:tplc="BA3867F4">
      <w:numFmt w:val="decimal"/>
      <w:lvlText w:val=""/>
      <w:lvlJc w:val="left"/>
    </w:lvl>
    <w:lvl w:ilvl="2" w:tplc="748A5B00">
      <w:numFmt w:val="decimal"/>
      <w:lvlText w:val=""/>
      <w:lvlJc w:val="left"/>
    </w:lvl>
    <w:lvl w:ilvl="3" w:tplc="6AC47310">
      <w:numFmt w:val="decimal"/>
      <w:lvlText w:val=""/>
      <w:lvlJc w:val="left"/>
    </w:lvl>
    <w:lvl w:ilvl="4" w:tplc="C4BE2DB4">
      <w:numFmt w:val="decimal"/>
      <w:lvlText w:val=""/>
      <w:lvlJc w:val="left"/>
    </w:lvl>
    <w:lvl w:ilvl="5" w:tplc="B0846010">
      <w:numFmt w:val="decimal"/>
      <w:lvlText w:val=""/>
      <w:lvlJc w:val="left"/>
    </w:lvl>
    <w:lvl w:ilvl="6" w:tplc="CA7A41EA">
      <w:numFmt w:val="decimal"/>
      <w:lvlText w:val=""/>
      <w:lvlJc w:val="left"/>
    </w:lvl>
    <w:lvl w:ilvl="7" w:tplc="22509822">
      <w:numFmt w:val="decimal"/>
      <w:lvlText w:val=""/>
      <w:lvlJc w:val="left"/>
    </w:lvl>
    <w:lvl w:ilvl="8" w:tplc="BF524F24">
      <w:numFmt w:val="decimal"/>
      <w:lvlText w:val=""/>
      <w:lvlJc w:val="left"/>
    </w:lvl>
  </w:abstractNum>
  <w:abstractNum w:abstractNumId="6" w15:restartNumberingAfterBreak="0">
    <w:nsid w:val="744A7E8C"/>
    <w:multiLevelType w:val="hybridMultilevel"/>
    <w:tmpl w:val="A6DCB79A"/>
    <w:lvl w:ilvl="0" w:tplc="3680588C">
      <w:start w:val="1"/>
      <w:numFmt w:val="bullet"/>
      <w:lvlText w:val="●"/>
      <w:lvlJc w:val="left"/>
      <w:pPr>
        <w:ind w:left="720" w:hanging="360"/>
      </w:pPr>
    </w:lvl>
    <w:lvl w:ilvl="1" w:tplc="6E0ADC66">
      <w:start w:val="1"/>
      <w:numFmt w:val="bullet"/>
      <w:lvlText w:val="○"/>
      <w:lvlJc w:val="left"/>
      <w:pPr>
        <w:ind w:left="1440" w:hanging="360"/>
      </w:pPr>
    </w:lvl>
    <w:lvl w:ilvl="2" w:tplc="C2CCAEDE">
      <w:start w:val="1"/>
      <w:numFmt w:val="bullet"/>
      <w:lvlText w:val="■"/>
      <w:lvlJc w:val="left"/>
      <w:pPr>
        <w:ind w:left="2160" w:hanging="360"/>
      </w:pPr>
    </w:lvl>
    <w:lvl w:ilvl="3" w:tplc="29DC25DC">
      <w:start w:val="1"/>
      <w:numFmt w:val="bullet"/>
      <w:lvlText w:val="●"/>
      <w:lvlJc w:val="left"/>
      <w:pPr>
        <w:ind w:left="2880" w:hanging="360"/>
      </w:pPr>
    </w:lvl>
    <w:lvl w:ilvl="4" w:tplc="E6B8E6CC">
      <w:start w:val="1"/>
      <w:numFmt w:val="bullet"/>
      <w:lvlText w:val="○"/>
      <w:lvlJc w:val="left"/>
      <w:pPr>
        <w:ind w:left="3600" w:hanging="360"/>
      </w:pPr>
    </w:lvl>
    <w:lvl w:ilvl="5" w:tplc="DFBCED00">
      <w:start w:val="1"/>
      <w:numFmt w:val="bullet"/>
      <w:lvlText w:val="■"/>
      <w:lvlJc w:val="left"/>
      <w:pPr>
        <w:ind w:left="4320" w:hanging="360"/>
      </w:pPr>
    </w:lvl>
    <w:lvl w:ilvl="6" w:tplc="B7FA8062">
      <w:start w:val="1"/>
      <w:numFmt w:val="bullet"/>
      <w:lvlText w:val="●"/>
      <w:lvlJc w:val="left"/>
      <w:pPr>
        <w:ind w:left="5040" w:hanging="360"/>
      </w:pPr>
    </w:lvl>
    <w:lvl w:ilvl="7" w:tplc="CE307C3E">
      <w:start w:val="1"/>
      <w:numFmt w:val="bullet"/>
      <w:lvlText w:val="●"/>
      <w:lvlJc w:val="left"/>
      <w:pPr>
        <w:ind w:left="5760" w:hanging="360"/>
      </w:pPr>
    </w:lvl>
    <w:lvl w:ilvl="8" w:tplc="F568266E">
      <w:start w:val="1"/>
      <w:numFmt w:val="bullet"/>
      <w:lvlText w:val="●"/>
      <w:lvlJc w:val="left"/>
      <w:pPr>
        <w:ind w:left="6480" w:hanging="360"/>
      </w:pPr>
    </w:lvl>
  </w:abstractNum>
  <w:num w:numId="1" w16cid:durableId="501161029">
    <w:abstractNumId w:val="6"/>
    <w:lvlOverride w:ilvl="0">
      <w:startOverride w:val="1"/>
    </w:lvlOverride>
  </w:num>
  <w:num w:numId="2" w16cid:durableId="1416174230">
    <w:abstractNumId w:val="1"/>
    <w:lvlOverride w:ilvl="0">
      <w:startOverride w:val="1"/>
    </w:lvlOverride>
  </w:num>
  <w:num w:numId="3" w16cid:durableId="647176358">
    <w:abstractNumId w:val="2"/>
    <w:lvlOverride w:ilvl="0">
      <w:startOverride w:val="1"/>
    </w:lvlOverride>
  </w:num>
  <w:num w:numId="4" w16cid:durableId="282811471">
    <w:abstractNumId w:val="4"/>
    <w:lvlOverride w:ilvl="0">
      <w:startOverride w:val="1"/>
    </w:lvlOverride>
  </w:num>
  <w:num w:numId="5" w16cid:durableId="1721788204">
    <w:abstractNumId w:val="5"/>
    <w:lvlOverride w:ilvl="0">
      <w:startOverride w:val="1"/>
    </w:lvlOverride>
  </w:num>
  <w:num w:numId="6" w16cid:durableId="1066956781">
    <w:abstractNumId w:val="3"/>
    <w:lvlOverride w:ilvl="0">
      <w:startOverride w:val="1"/>
    </w:lvlOverride>
  </w:num>
  <w:num w:numId="7" w16cid:durableId="1414818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77"/>
    <w:rsid w:val="00215377"/>
    <w:rsid w:val="003657BC"/>
    <w:rsid w:val="00460866"/>
    <w:rsid w:val="00DD7E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CE29"/>
  <w15:docId w15:val="{92401F88-4F1D-47CA-8276-DFD718F7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1A1A1A"/>
      <w:sz w:val="32"/>
      <w:szCs w:val="32"/>
    </w:rPr>
  </w:style>
  <w:style w:type="paragraph" w:styleId="Titre2">
    <w:name w:val="heading 2"/>
    <w:uiPriority w:val="9"/>
    <w:unhideWhenUsed/>
    <w:qFormat/>
    <w:pPr>
      <w:spacing w:before="280" w:after="140"/>
      <w:outlineLvl w:val="1"/>
    </w:pPr>
    <w:rPr>
      <w:b/>
      <w:bCs/>
      <w:color w:val="333333"/>
      <w:sz w:val="28"/>
      <w:szCs w:val="28"/>
    </w:rPr>
  </w:style>
  <w:style w:type="paragraph" w:styleId="Titre3">
    <w:name w:val="heading 3"/>
    <w:uiPriority w:val="9"/>
    <w:semiHidden/>
    <w:unhideWhenUsed/>
    <w:qFormat/>
    <w:pPr>
      <w:spacing w:before="200" w:after="100"/>
      <w:outlineLvl w:val="2"/>
    </w:pPr>
    <w:rPr>
      <w:b/>
      <w:bCs/>
      <w:i/>
      <w:iCs/>
      <w:color w:val="44444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pPr>
      <w:spacing w:after="240"/>
      <w:jc w:val="center"/>
    </w:pPr>
    <w:rPr>
      <w:b/>
      <w:bCs/>
      <w:color w:val="000000"/>
      <w:sz w:val="48"/>
      <w:szCs w:val="48"/>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customStyle="1" w:styleId="Abstract">
    <w:name w:val="Abstract"/>
    <w:pPr>
      <w:spacing w:before="120" w:after="120"/>
      <w:ind w:left="720" w:right="72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1395</Words>
  <Characters>7673</Characters>
  <Application>Microsoft Office Word</Application>
  <DocSecurity>0</DocSecurity>
  <Lines>63</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Dominique Duchene</cp:lastModifiedBy>
  <cp:revision>2</cp:revision>
  <dcterms:created xsi:type="dcterms:W3CDTF">2025-12-16T15:38:00Z</dcterms:created>
  <dcterms:modified xsi:type="dcterms:W3CDTF">2025-12-16T15:38:00Z</dcterms:modified>
</cp:coreProperties>
</file>